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C2" w:rsidRDefault="00103934">
      <w:pPr>
        <w:spacing w:before="120" w:after="0" w:line="360" w:lineRule="auto"/>
        <w:jc w:val="both"/>
        <w:rPr>
          <w:rFonts w:ascii="Montserrat Light" w:hAnsi="Montserrat Light"/>
          <w:sz w:val="34"/>
          <w:szCs w:val="34"/>
        </w:rPr>
      </w:pPr>
      <w:bookmarkStart w:id="0" w:name="_Hlk205391572"/>
      <w:r>
        <w:rPr>
          <w:rFonts w:ascii="Montserrat Light" w:hAnsi="Montserrat Light"/>
          <w:sz w:val="34"/>
          <w:szCs w:val="34"/>
        </w:rPr>
        <w:t xml:space="preserve">     </w:t>
      </w:r>
    </w:p>
    <w:p w:rsidR="002B0FC2" w:rsidRDefault="002B0FC2">
      <w:pPr>
        <w:tabs>
          <w:tab w:val="center" w:pos="4536"/>
          <w:tab w:val="left" w:pos="6925"/>
        </w:tabs>
        <w:spacing w:before="120" w:after="0" w:line="360" w:lineRule="auto"/>
        <w:jc w:val="center"/>
        <w:rPr>
          <w:rFonts w:ascii="Montserrat Light" w:hAnsi="Montserrat Light"/>
          <w:b/>
          <w:sz w:val="34"/>
          <w:szCs w:val="34"/>
        </w:rPr>
      </w:pPr>
    </w:p>
    <w:p w:rsidR="002B0FC2" w:rsidRDefault="002B0FC2">
      <w:pPr>
        <w:tabs>
          <w:tab w:val="center" w:pos="4536"/>
          <w:tab w:val="left" w:pos="6925"/>
        </w:tabs>
        <w:spacing w:before="120" w:after="0" w:line="360" w:lineRule="auto"/>
        <w:jc w:val="center"/>
        <w:rPr>
          <w:rFonts w:ascii="Montserrat Light" w:hAnsi="Montserrat Light"/>
          <w:b/>
          <w:sz w:val="34"/>
          <w:szCs w:val="34"/>
        </w:rPr>
      </w:pPr>
    </w:p>
    <w:p w:rsidR="002B0FC2" w:rsidRDefault="002B0FC2">
      <w:pPr>
        <w:tabs>
          <w:tab w:val="center" w:pos="4536"/>
          <w:tab w:val="left" w:pos="6925"/>
        </w:tabs>
        <w:spacing w:before="120" w:after="0" w:line="360" w:lineRule="auto"/>
        <w:jc w:val="center"/>
        <w:rPr>
          <w:rFonts w:ascii="Montserrat Light" w:hAnsi="Montserrat Light"/>
          <w:b/>
          <w:sz w:val="34"/>
          <w:szCs w:val="34"/>
        </w:rPr>
      </w:pPr>
    </w:p>
    <w:p w:rsidR="002B0FC2" w:rsidRDefault="002B0FC2">
      <w:pPr>
        <w:tabs>
          <w:tab w:val="center" w:pos="4536"/>
          <w:tab w:val="left" w:pos="6925"/>
        </w:tabs>
        <w:spacing w:before="120" w:after="0" w:line="360" w:lineRule="auto"/>
        <w:jc w:val="center"/>
        <w:rPr>
          <w:rFonts w:ascii="Montserrat Light" w:hAnsi="Montserrat Light"/>
          <w:b/>
          <w:sz w:val="34"/>
          <w:szCs w:val="34"/>
        </w:rPr>
      </w:pPr>
    </w:p>
    <w:p w:rsidR="002B0FC2" w:rsidRDefault="002B0FC2">
      <w:pPr>
        <w:tabs>
          <w:tab w:val="left" w:pos="2422"/>
        </w:tabs>
        <w:spacing w:before="120" w:after="0" w:line="360" w:lineRule="auto"/>
        <w:jc w:val="both"/>
        <w:rPr>
          <w:rFonts w:ascii="Tahoma" w:hAnsi="Tahoma" w:cs="Tahoma"/>
          <w:sz w:val="34"/>
          <w:szCs w:val="34"/>
        </w:rPr>
      </w:pPr>
    </w:p>
    <w:p w:rsidR="002B0FC2" w:rsidRDefault="00103934">
      <w:pPr>
        <w:tabs>
          <w:tab w:val="left" w:pos="2422"/>
        </w:tabs>
        <w:spacing w:before="120" w:after="0" w:line="360" w:lineRule="auto"/>
        <w:jc w:val="both"/>
        <w:rPr>
          <w:rFonts w:ascii="Tahoma" w:hAnsi="Tahoma" w:cs="Tahoma"/>
          <w:sz w:val="34"/>
          <w:szCs w:val="34"/>
        </w:rPr>
      </w:pPr>
      <w:r>
        <w:rPr>
          <w:noProof/>
          <w:sz w:val="34"/>
          <w:szCs w:val="34"/>
        </w:rPr>
        <mc:AlternateContent>
          <mc:Choice Requires="wps">
            <w:drawing>
              <wp:anchor distT="0" distB="0" distL="114300" distR="114300" simplePos="0" relativeHeight="251659264" behindDoc="0" locked="0" layoutInCell="0" allowOverlap="1">
                <wp:simplePos x="0" y="0"/>
                <wp:positionH relativeFrom="margin">
                  <wp:posOffset>-165100</wp:posOffset>
                </wp:positionH>
                <wp:positionV relativeFrom="paragraph">
                  <wp:posOffset>67310</wp:posOffset>
                </wp:positionV>
                <wp:extent cx="6235065" cy="3877310"/>
                <wp:effectExtent l="19050" t="19050" r="13335" b="28575"/>
                <wp:wrapNone/>
                <wp:docPr id="5" name="Organigramme : Processu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101" cy="3876999"/>
                        </a:xfrm>
                        <a:prstGeom prst="flowChartProcess">
                          <a:avLst/>
                        </a:prstGeom>
                        <a:solidFill>
                          <a:srgbClr val="FFFFFF"/>
                        </a:solidFill>
                        <a:ln w="31750">
                          <a:solidFill>
                            <a:srgbClr val="000000"/>
                          </a:solidFill>
                          <a:miter lim="800000"/>
                        </a:ln>
                        <a:effectLst/>
                      </wps:spPr>
                      <wps:txbx>
                        <w:txbxContent>
                          <w:p w:rsidR="002B0FC2" w:rsidRDefault="00103934">
                            <w:pPr>
                              <w:tabs>
                                <w:tab w:val="left" w:pos="2422"/>
                              </w:tabs>
                              <w:spacing w:before="120" w:line="276" w:lineRule="auto"/>
                              <w:jc w:val="center"/>
                              <w:rPr>
                                <w:rFonts w:ascii="Tahoma" w:hAnsi="Tahoma" w:cs="Tahoma"/>
                                <w:b/>
                                <w:sz w:val="36"/>
                                <w:szCs w:val="36"/>
                              </w:rPr>
                            </w:pPr>
                            <w:r>
                              <w:rPr>
                                <w:rFonts w:ascii="Tahoma" w:hAnsi="Tahoma" w:cs="Tahoma"/>
                                <w:b/>
                                <w:sz w:val="36"/>
                                <w:szCs w:val="36"/>
                              </w:rPr>
                              <w:t>Allocution du Haut-Commissaire à la Prévention de la Corruption (HCPC)</w:t>
                            </w:r>
                          </w:p>
                          <w:p w:rsidR="002B0FC2" w:rsidRDefault="00103934">
                            <w:pPr>
                              <w:tabs>
                                <w:tab w:val="left" w:pos="2422"/>
                              </w:tabs>
                              <w:spacing w:before="120" w:line="276" w:lineRule="auto"/>
                              <w:jc w:val="center"/>
                              <w:rPr>
                                <w:rFonts w:ascii="Tahoma" w:hAnsi="Tahoma" w:cs="Tahoma"/>
                                <w:b/>
                                <w:sz w:val="36"/>
                                <w:szCs w:val="36"/>
                              </w:rPr>
                            </w:pPr>
                            <w:r>
                              <w:rPr>
                                <w:rFonts w:ascii="Tahoma" w:hAnsi="Tahoma" w:cs="Tahoma"/>
                                <w:b/>
                                <w:sz w:val="36"/>
                                <w:szCs w:val="36"/>
                              </w:rPr>
                              <w:t xml:space="preserve">Cérémonie de restitution des conclusions des travaux de la Commission de vérification des projets d’investissement dans les secteurs de l’eau et de l’énergie électrique à Parakou (2016–2025) </w:t>
                            </w:r>
                          </w:p>
                          <w:p w:rsidR="002B0FC2" w:rsidRDefault="002B0FC2">
                            <w:pPr>
                              <w:tabs>
                                <w:tab w:val="left" w:pos="2422"/>
                              </w:tabs>
                              <w:spacing w:before="120" w:line="276" w:lineRule="auto"/>
                              <w:jc w:val="center"/>
                              <w:rPr>
                                <w:rFonts w:ascii="Tahoma" w:hAnsi="Tahoma" w:cs="Tahoma"/>
                                <w:b/>
                                <w:sz w:val="36"/>
                                <w:szCs w:val="36"/>
                              </w:rPr>
                            </w:pPr>
                          </w:p>
                          <w:p w:rsidR="002B0FC2" w:rsidRDefault="00103934">
                            <w:pPr>
                              <w:tabs>
                                <w:tab w:val="left" w:pos="2422"/>
                              </w:tabs>
                              <w:spacing w:before="120" w:line="276" w:lineRule="auto"/>
                              <w:jc w:val="center"/>
                              <w:rPr>
                                <w:rFonts w:ascii="Tahoma" w:hAnsi="Tahoma" w:cs="Tahoma"/>
                                <w:b/>
                                <w:sz w:val="32"/>
                                <w:szCs w:val="32"/>
                              </w:rPr>
                            </w:pPr>
                            <w:r>
                              <w:rPr>
                                <w:rFonts w:ascii="Tahoma" w:hAnsi="Tahoma" w:cs="Tahoma"/>
                                <w:b/>
                                <w:sz w:val="32"/>
                                <w:szCs w:val="32"/>
                              </w:rPr>
                              <w:t>(</w:t>
                            </w:r>
                            <w:r>
                              <w:rPr>
                                <w:rFonts w:ascii="Tahoma" w:hAnsi="Tahoma" w:cs="Tahoma"/>
                                <w:bCs/>
                                <w:sz w:val="32"/>
                                <w:szCs w:val="32"/>
                              </w:rPr>
                              <w:t xml:space="preserve">Coupole Ministère des Affaires Etrangères, le 07 </w:t>
                            </w:r>
                            <w:proofErr w:type="gramStart"/>
                            <w:r>
                              <w:rPr>
                                <w:rFonts w:ascii="Tahoma" w:hAnsi="Tahoma" w:cs="Tahoma"/>
                                <w:bCs/>
                                <w:sz w:val="32"/>
                                <w:szCs w:val="32"/>
                              </w:rPr>
                              <w:t>Aout  2025</w:t>
                            </w:r>
                            <w:proofErr w:type="gramEnd"/>
                            <w:r>
                              <w:rPr>
                                <w:rFonts w:ascii="Tahoma" w:hAnsi="Tahoma" w:cs="Tahoma"/>
                                <w:b/>
                                <w:sz w:val="32"/>
                                <w:szCs w:val="32"/>
                              </w:rPr>
                              <w:t>)</w:t>
                            </w:r>
                          </w:p>
                          <w:p w:rsidR="002B0FC2" w:rsidRDefault="002B0FC2">
                            <w:pPr>
                              <w:jc w:val="center"/>
                              <w:rPr>
                                <w:rFonts w:ascii="Tahoma" w:hAnsi="Tahoma" w:cs="Tahoma"/>
                                <w:b/>
                                <w:sz w:val="36"/>
                                <w:szCs w:val="36"/>
                              </w:rPr>
                            </w:pPr>
                          </w:p>
                          <w:p w:rsidR="002B0FC2" w:rsidRDefault="002B0FC2">
                            <w:pPr>
                              <w:pBdr>
                                <w:top w:val="single" w:sz="8" w:space="10" w:color="FFFFFF"/>
                                <w:bottom w:val="single" w:sz="8" w:space="10" w:color="FFFFFF"/>
                              </w:pBdr>
                              <w:jc w:val="center"/>
                              <w:rPr>
                                <w:i/>
                                <w:iCs/>
                                <w:color w:val="808080"/>
                              </w:rPr>
                            </w:pPr>
                          </w:p>
                        </w:txbxContent>
                      </wps:txbx>
                      <wps:bodyPr rot="0" vert="horz" wrap="square" lIns="45720" tIns="45720" rIns="45720" bIns="45720" anchor="t" anchorCtr="0" upright="1">
                        <a:noAutofit/>
                      </wps:bodyPr>
                    </wps:wsp>
                  </a:graphicData>
                </a:graphic>
              </wp:anchor>
            </w:drawing>
          </mc:Choice>
          <mc:Fallback>
            <w:pict>
              <v:shapetype id="_x0000_t109" coordsize="21600,21600" o:spt="109" path="m,l,21600r21600,l21600,xe">
                <v:stroke joinstyle="miter"/>
                <v:path gradientshapeok="t" o:connecttype="rect"/>
              </v:shapetype>
              <v:shape id="Organigramme : Processus 1" o:spid="_x0000_s1026" type="#_x0000_t109" style="position:absolute;left:0;text-align:left;margin-left:-13pt;margin-top:5.3pt;width:490.95pt;height:305.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YLwIAAFsEAAAOAAAAZHJzL2Uyb0RvYy54bWysVFFu2zAM/R+wOwj6X22nS5oYdYqiRYcB&#10;3Rqg2wEUWbaFSaJGKXGy0+wsO9loOe3cbV/D/CGIkvj4+Ej68upgDdsrDBpcxYuznDPlJNTatRX/&#10;/OnuzZKzEIWrhQGnKn5UgV+tX7+67H2pZtCBqRUyAnGh7H3Fuxh9mWVBdsqKcAZeObpsAK2IZGKb&#10;1Sh6Qrcmm+X5IusBa48gVQh0ejte8nXCbxol40PTBBWZqThxi2nFtG6HNVtfirJF4TstTzTEP7Cw&#10;QjsK+gx1K6JgO9R/QFktEQI08UyCzaBptFQpB8qmyH/L5rETXqVcSJzgn2UK/w9WftxvkOm64nPO&#10;nLBUogdshdOkibXqx/eSbUZ1d4EVg1y9DyV5PfoNDgkHfw/yS2AObjrhWnWNCH2nRE0k0/vshcNg&#10;BHJl2/4D1BRN7CIk5Q4N2gGQNGGHVKDjc4HUITJJh4vZ+bzIC84k3Z0vLxar1WrglInyyd1jiO8U&#10;WDZsKt4Y6IkYxlMWKZTY34c4uj09T6mA0fWdNiYZ2G5vDLK9oM65S98pUpg+M471RKW4mOcJ+sVl&#10;mGLk6fsbhtWRZsBoW/Hl9JFxAxGVuvhE+Em+sQzxsD2cKrKF+kiqIowdThNJmw7wG2c9dXfFw9ed&#10;QMWZee+oMm/nF7NhHKYGTo3t1BBOElTFI2fj9iaOI7TzqNuOIhUpeQfXVM1GJ20HqiMrqs9gUAen&#10;Sp2mbRiRqZ1e/fonrH8CAAD//wMAUEsDBBQABgAIAAAAIQAz/cL53QAAAAoBAAAPAAAAZHJzL2Rv&#10;d25yZXYueG1sTI8xb8MgFIT3Sv0P6FXqlkCs4DaOcVRFylqpabpjQ40V87CA2OTfl07teLrT3Xf1&#10;IdmRzNqHwaGAzZoB0dg5NWAv4PJ5Wr0CCVGikqNDLeCuAxyax4daVsot+KHnc+xJLsFQSQEmxqmi&#10;NHRGWxnWbtKYvW/nrYxZ+p4qL5dcbkdaMFZSKwfMC0ZO+mh0dz3frICX7bK9M87nCx9O7fvxK6Hx&#10;SYjnp/S2BxJ1in9h+MXP6NBkptbdUAUyClgVZf4Ss8FKIDmw43wHpBVQFpsCaFPT/xeaHwAAAP//&#10;AwBQSwECLQAUAAYACAAAACEAtoM4kv4AAADhAQAAEwAAAAAAAAAAAAAAAAAAAAAAW0NvbnRlbnRf&#10;VHlwZXNdLnhtbFBLAQItABQABgAIAAAAIQA4/SH/1gAAAJQBAAALAAAAAAAAAAAAAAAAAC8BAABf&#10;cmVscy8ucmVsc1BLAQItABQABgAIAAAAIQDNru/YLwIAAFsEAAAOAAAAAAAAAAAAAAAAAC4CAABk&#10;cnMvZTJvRG9jLnhtbFBLAQItABQABgAIAAAAIQAz/cL53QAAAAoBAAAPAAAAAAAAAAAAAAAAAIkE&#10;AABkcnMvZG93bnJldi54bWxQSwUGAAAAAAQABADzAAAAkwUAAAAA&#10;" o:allowincell="f" strokeweight="2.5pt">
                <v:textbox inset="3.6pt,,3.6pt">
                  <w:txbxContent>
                    <w:p w:rsidR="002B0FC2" w:rsidRDefault="00103934">
                      <w:pPr>
                        <w:tabs>
                          <w:tab w:val="left" w:pos="2422"/>
                        </w:tabs>
                        <w:spacing w:before="120" w:line="276" w:lineRule="auto"/>
                        <w:jc w:val="center"/>
                        <w:rPr>
                          <w:rFonts w:ascii="Tahoma" w:hAnsi="Tahoma" w:cs="Tahoma"/>
                          <w:b/>
                          <w:sz w:val="36"/>
                          <w:szCs w:val="36"/>
                        </w:rPr>
                      </w:pPr>
                      <w:r>
                        <w:rPr>
                          <w:rFonts w:ascii="Tahoma" w:hAnsi="Tahoma" w:cs="Tahoma"/>
                          <w:b/>
                          <w:sz w:val="36"/>
                          <w:szCs w:val="36"/>
                        </w:rPr>
                        <w:t>Allocution du Haut-Commissaire à la Prévention de la Corruption (HCPC)</w:t>
                      </w:r>
                    </w:p>
                    <w:p w:rsidR="002B0FC2" w:rsidRDefault="00103934">
                      <w:pPr>
                        <w:tabs>
                          <w:tab w:val="left" w:pos="2422"/>
                        </w:tabs>
                        <w:spacing w:before="120" w:line="276" w:lineRule="auto"/>
                        <w:jc w:val="center"/>
                        <w:rPr>
                          <w:rFonts w:ascii="Tahoma" w:hAnsi="Tahoma" w:cs="Tahoma"/>
                          <w:b/>
                          <w:sz w:val="36"/>
                          <w:szCs w:val="36"/>
                        </w:rPr>
                      </w:pPr>
                      <w:r>
                        <w:rPr>
                          <w:rFonts w:ascii="Tahoma" w:hAnsi="Tahoma" w:cs="Tahoma"/>
                          <w:b/>
                          <w:sz w:val="36"/>
                          <w:szCs w:val="36"/>
                        </w:rPr>
                        <w:t xml:space="preserve">Cérémonie de restitution des conclusions des travaux de la Commission de vérification des projets d’investissement dans les secteurs de l’eau et de l’énergie électrique à Parakou (2016–2025) </w:t>
                      </w:r>
                    </w:p>
                    <w:p w:rsidR="002B0FC2" w:rsidRDefault="002B0FC2">
                      <w:pPr>
                        <w:tabs>
                          <w:tab w:val="left" w:pos="2422"/>
                        </w:tabs>
                        <w:spacing w:before="120" w:line="276" w:lineRule="auto"/>
                        <w:jc w:val="center"/>
                        <w:rPr>
                          <w:rFonts w:ascii="Tahoma" w:hAnsi="Tahoma" w:cs="Tahoma"/>
                          <w:b/>
                          <w:sz w:val="36"/>
                          <w:szCs w:val="36"/>
                        </w:rPr>
                      </w:pPr>
                    </w:p>
                    <w:p w:rsidR="002B0FC2" w:rsidRDefault="00103934">
                      <w:pPr>
                        <w:tabs>
                          <w:tab w:val="left" w:pos="2422"/>
                        </w:tabs>
                        <w:spacing w:before="120" w:line="276" w:lineRule="auto"/>
                        <w:jc w:val="center"/>
                        <w:rPr>
                          <w:rFonts w:ascii="Tahoma" w:hAnsi="Tahoma" w:cs="Tahoma"/>
                          <w:b/>
                          <w:sz w:val="32"/>
                          <w:szCs w:val="32"/>
                        </w:rPr>
                      </w:pPr>
                      <w:r>
                        <w:rPr>
                          <w:rFonts w:ascii="Tahoma" w:hAnsi="Tahoma" w:cs="Tahoma"/>
                          <w:b/>
                          <w:sz w:val="32"/>
                          <w:szCs w:val="32"/>
                        </w:rPr>
                        <w:t>(</w:t>
                      </w:r>
                      <w:r>
                        <w:rPr>
                          <w:rFonts w:ascii="Tahoma" w:hAnsi="Tahoma" w:cs="Tahoma"/>
                          <w:bCs/>
                          <w:sz w:val="32"/>
                          <w:szCs w:val="32"/>
                        </w:rPr>
                        <w:t xml:space="preserve">Coupole Ministère des Affaires Etrangères, le 07 </w:t>
                      </w:r>
                      <w:proofErr w:type="gramStart"/>
                      <w:r>
                        <w:rPr>
                          <w:rFonts w:ascii="Tahoma" w:hAnsi="Tahoma" w:cs="Tahoma"/>
                          <w:bCs/>
                          <w:sz w:val="32"/>
                          <w:szCs w:val="32"/>
                        </w:rPr>
                        <w:t>Aout  2025</w:t>
                      </w:r>
                      <w:proofErr w:type="gramEnd"/>
                      <w:r>
                        <w:rPr>
                          <w:rFonts w:ascii="Tahoma" w:hAnsi="Tahoma" w:cs="Tahoma"/>
                          <w:b/>
                          <w:sz w:val="32"/>
                          <w:szCs w:val="32"/>
                        </w:rPr>
                        <w:t>)</w:t>
                      </w:r>
                    </w:p>
                    <w:p w:rsidR="002B0FC2" w:rsidRDefault="002B0FC2">
                      <w:pPr>
                        <w:jc w:val="center"/>
                        <w:rPr>
                          <w:rFonts w:ascii="Tahoma" w:hAnsi="Tahoma" w:cs="Tahoma"/>
                          <w:b/>
                          <w:sz w:val="36"/>
                          <w:szCs w:val="36"/>
                        </w:rPr>
                      </w:pPr>
                    </w:p>
                    <w:p w:rsidR="002B0FC2" w:rsidRDefault="002B0FC2">
                      <w:pPr>
                        <w:pBdr>
                          <w:top w:val="single" w:sz="8" w:space="10" w:color="FFFFFF"/>
                          <w:bottom w:val="single" w:sz="8" w:space="10" w:color="FFFFFF"/>
                        </w:pBdr>
                        <w:jc w:val="center"/>
                        <w:rPr>
                          <w:i/>
                          <w:iCs/>
                          <w:color w:val="808080"/>
                        </w:rPr>
                      </w:pPr>
                    </w:p>
                  </w:txbxContent>
                </v:textbox>
                <w10:wrap anchorx="margin"/>
              </v:shape>
            </w:pict>
          </mc:Fallback>
        </mc:AlternateContent>
      </w:r>
    </w:p>
    <w:p w:rsidR="002B0FC2" w:rsidRDefault="002B0FC2">
      <w:pPr>
        <w:tabs>
          <w:tab w:val="left" w:pos="2422"/>
        </w:tabs>
        <w:spacing w:before="120" w:after="0" w:line="276" w:lineRule="auto"/>
        <w:jc w:val="center"/>
        <w:rPr>
          <w:rFonts w:ascii="Tahoma" w:hAnsi="Tahoma" w:cs="Tahoma"/>
          <w:sz w:val="34"/>
          <w:szCs w:val="34"/>
        </w:rPr>
      </w:pPr>
    </w:p>
    <w:p w:rsidR="002B0FC2" w:rsidRDefault="002B0FC2">
      <w:pPr>
        <w:tabs>
          <w:tab w:val="left" w:pos="2422"/>
        </w:tabs>
        <w:spacing w:before="120" w:after="0" w:line="276" w:lineRule="auto"/>
        <w:jc w:val="center"/>
        <w:rPr>
          <w:rFonts w:ascii="Tahoma" w:hAnsi="Tahoma" w:cs="Tahoma"/>
          <w:sz w:val="34"/>
          <w:szCs w:val="34"/>
        </w:rPr>
      </w:pPr>
    </w:p>
    <w:p w:rsidR="002B0FC2" w:rsidRDefault="002B0FC2">
      <w:pPr>
        <w:tabs>
          <w:tab w:val="left" w:pos="2422"/>
        </w:tabs>
        <w:spacing w:before="120" w:after="0" w:line="276" w:lineRule="auto"/>
        <w:jc w:val="center"/>
        <w:rPr>
          <w:rFonts w:ascii="Tahoma" w:hAnsi="Tahoma" w:cs="Tahoma"/>
          <w:sz w:val="34"/>
          <w:szCs w:val="34"/>
        </w:rPr>
      </w:pPr>
    </w:p>
    <w:p w:rsidR="002B0FC2" w:rsidRDefault="002B0FC2">
      <w:pPr>
        <w:tabs>
          <w:tab w:val="left" w:pos="2422"/>
        </w:tabs>
        <w:spacing w:before="120" w:after="0" w:line="276" w:lineRule="auto"/>
        <w:jc w:val="center"/>
        <w:rPr>
          <w:rFonts w:ascii="Tahoma" w:hAnsi="Tahoma" w:cs="Tahoma"/>
          <w:sz w:val="34"/>
          <w:szCs w:val="34"/>
        </w:rPr>
        <w:sectPr w:rsidR="002B0FC2">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304" w:left="1418" w:header="709" w:footer="709" w:gutter="0"/>
          <w:pgNumType w:start="1"/>
          <w:cols w:space="708"/>
          <w:titlePg/>
          <w:docGrid w:linePitch="360"/>
        </w:sectPr>
      </w:pPr>
    </w:p>
    <w:p w:rsidR="002B0FC2" w:rsidRDefault="00103934">
      <w:pPr>
        <w:spacing w:after="0" w:line="276" w:lineRule="auto"/>
        <w:jc w:val="both"/>
        <w:rPr>
          <w:rFonts w:ascii="Tahoma" w:hAnsi="Tahoma" w:cs="Tahoma"/>
          <w:bCs/>
          <w:sz w:val="34"/>
          <w:szCs w:val="34"/>
        </w:rPr>
      </w:pPr>
      <w:r>
        <w:rPr>
          <w:rFonts w:ascii="Tahoma" w:hAnsi="Tahoma" w:cs="Tahoma"/>
          <w:bCs/>
          <w:sz w:val="34"/>
          <w:szCs w:val="34"/>
        </w:rPr>
        <w:lastRenderedPageBreak/>
        <w:t>Monsieur le Ministre d'État, chargé de l'Économie et des Finances,</w:t>
      </w:r>
    </w:p>
    <w:p w:rsidR="002B0FC2" w:rsidRDefault="00103934">
      <w:pPr>
        <w:spacing w:after="0" w:line="276" w:lineRule="auto"/>
        <w:jc w:val="both"/>
        <w:rPr>
          <w:rFonts w:ascii="Tahoma" w:hAnsi="Tahoma" w:cs="Tahoma"/>
          <w:bCs/>
          <w:sz w:val="34"/>
          <w:szCs w:val="34"/>
        </w:rPr>
      </w:pPr>
      <w:r>
        <w:rPr>
          <w:rFonts w:ascii="Tahoma" w:hAnsi="Tahoma" w:cs="Tahoma"/>
          <w:sz w:val="34"/>
          <w:szCs w:val="34"/>
        </w:rPr>
        <w:br/>
      </w:r>
      <w:r>
        <w:rPr>
          <w:rFonts w:ascii="Tahoma" w:hAnsi="Tahoma" w:cs="Tahoma"/>
          <w:bCs/>
          <w:sz w:val="34"/>
          <w:szCs w:val="34"/>
        </w:rPr>
        <w:t>Monsieur le Ministre des Affaires Étrangères,</w:t>
      </w:r>
    </w:p>
    <w:p w:rsidR="002B0FC2" w:rsidRDefault="002B0FC2">
      <w:pPr>
        <w:spacing w:after="0" w:line="240" w:lineRule="auto"/>
        <w:jc w:val="both"/>
        <w:rPr>
          <w:rFonts w:ascii="Tahoma" w:hAnsi="Tahoma" w:cs="Tahoma"/>
          <w:sz w:val="20"/>
          <w:szCs w:val="34"/>
        </w:rPr>
      </w:pPr>
    </w:p>
    <w:p w:rsidR="002B0FC2" w:rsidRDefault="00103934">
      <w:pPr>
        <w:spacing w:after="0" w:line="276" w:lineRule="auto"/>
        <w:jc w:val="both"/>
        <w:rPr>
          <w:rFonts w:ascii="Tahoma" w:hAnsi="Tahoma" w:cs="Tahoma"/>
          <w:bCs/>
          <w:sz w:val="34"/>
          <w:szCs w:val="34"/>
        </w:rPr>
      </w:pPr>
      <w:r>
        <w:rPr>
          <w:rFonts w:ascii="Tahoma" w:hAnsi="Tahoma" w:cs="Tahoma"/>
          <w:bCs/>
          <w:sz w:val="34"/>
          <w:szCs w:val="34"/>
        </w:rPr>
        <w:t>Madame</w:t>
      </w:r>
      <w:r>
        <w:rPr>
          <w:rFonts w:ascii="Tahoma" w:hAnsi="Tahoma" w:cs="Tahoma"/>
          <w:bCs/>
          <w:sz w:val="34"/>
          <w:szCs w:val="34"/>
        </w:rPr>
        <w:t xml:space="preserve"> et Messieurs les ambassadeurs près le Bénin,</w:t>
      </w:r>
    </w:p>
    <w:p w:rsidR="002B0FC2" w:rsidRDefault="002B0FC2">
      <w:pPr>
        <w:spacing w:after="0" w:line="276" w:lineRule="auto"/>
        <w:jc w:val="both"/>
        <w:rPr>
          <w:rFonts w:ascii="Tahoma" w:hAnsi="Tahoma" w:cs="Tahoma"/>
          <w:bCs/>
          <w:sz w:val="20"/>
          <w:szCs w:val="34"/>
        </w:rPr>
      </w:pPr>
    </w:p>
    <w:p w:rsidR="002B0FC2" w:rsidRDefault="00103934">
      <w:pPr>
        <w:spacing w:after="0" w:line="240" w:lineRule="auto"/>
        <w:jc w:val="both"/>
        <w:rPr>
          <w:rFonts w:ascii="Tahoma" w:hAnsi="Tahoma" w:cs="Tahoma"/>
          <w:bCs/>
          <w:sz w:val="34"/>
          <w:szCs w:val="34"/>
        </w:rPr>
      </w:pPr>
      <w:r>
        <w:rPr>
          <w:rFonts w:ascii="Tahoma" w:hAnsi="Tahoma" w:cs="Tahoma"/>
          <w:bCs/>
          <w:sz w:val="34"/>
          <w:szCs w:val="34"/>
        </w:rPr>
        <w:t>Madame la Cheffe de la Mission Résidente de la Banque Ouest Africaine de Développement</w:t>
      </w:r>
      <w:r>
        <w:rPr>
          <w:rFonts w:ascii="Tahoma" w:hAnsi="Tahoma" w:cs="Tahoma"/>
          <w:bCs/>
          <w:sz w:val="34"/>
          <w:szCs w:val="34"/>
        </w:rPr>
        <w:t>,</w:t>
      </w:r>
      <w:r>
        <w:rPr>
          <w:rFonts w:ascii="Tahoma" w:hAnsi="Tahoma" w:cs="Tahoma"/>
          <w:bCs/>
          <w:sz w:val="34"/>
          <w:szCs w:val="34"/>
        </w:rPr>
        <w:t xml:space="preserve"> </w:t>
      </w:r>
    </w:p>
    <w:p w:rsidR="002B0FC2" w:rsidRDefault="002B0FC2">
      <w:pPr>
        <w:spacing w:after="0" w:line="276" w:lineRule="auto"/>
        <w:jc w:val="both"/>
        <w:rPr>
          <w:rFonts w:ascii="Tahoma" w:hAnsi="Tahoma" w:cs="Tahoma"/>
          <w:bCs/>
          <w:szCs w:val="34"/>
        </w:rPr>
      </w:pPr>
    </w:p>
    <w:p w:rsidR="002B0FC2" w:rsidRDefault="00103934">
      <w:pPr>
        <w:spacing w:after="0" w:line="276" w:lineRule="auto"/>
        <w:jc w:val="both"/>
        <w:rPr>
          <w:rFonts w:ascii="Tahoma" w:hAnsi="Tahoma" w:cs="Tahoma"/>
          <w:bCs/>
          <w:sz w:val="34"/>
          <w:szCs w:val="34"/>
        </w:rPr>
      </w:pPr>
      <w:r>
        <w:rPr>
          <w:rFonts w:ascii="Tahoma" w:hAnsi="Tahoma" w:cs="Tahoma"/>
          <w:bCs/>
          <w:sz w:val="34"/>
          <w:szCs w:val="34"/>
        </w:rPr>
        <w:t>Mesdames et Messieurs les représentants des Organisations internationales et de la société civile,</w:t>
      </w:r>
    </w:p>
    <w:p w:rsidR="002B0FC2" w:rsidRDefault="002B0FC2">
      <w:pPr>
        <w:spacing w:after="0" w:line="276" w:lineRule="auto"/>
        <w:jc w:val="both"/>
        <w:rPr>
          <w:rFonts w:ascii="Tahoma" w:hAnsi="Tahoma" w:cs="Tahoma"/>
          <w:bCs/>
          <w:szCs w:val="34"/>
        </w:rPr>
      </w:pPr>
    </w:p>
    <w:p w:rsidR="002B0FC2" w:rsidRDefault="00103934">
      <w:pPr>
        <w:spacing w:after="0" w:line="276" w:lineRule="auto"/>
        <w:jc w:val="both"/>
        <w:rPr>
          <w:rFonts w:ascii="Tahoma" w:hAnsi="Tahoma" w:cs="Tahoma"/>
          <w:bCs/>
          <w:sz w:val="34"/>
          <w:szCs w:val="34"/>
        </w:rPr>
      </w:pPr>
      <w:r>
        <w:rPr>
          <w:rFonts w:ascii="Tahoma" w:hAnsi="Tahoma" w:cs="Tahoma"/>
          <w:bCs/>
          <w:sz w:val="34"/>
          <w:szCs w:val="34"/>
        </w:rPr>
        <w:t>Distingués responsa</w:t>
      </w:r>
      <w:r>
        <w:rPr>
          <w:rFonts w:ascii="Tahoma" w:hAnsi="Tahoma" w:cs="Tahoma"/>
          <w:bCs/>
          <w:sz w:val="34"/>
          <w:szCs w:val="34"/>
        </w:rPr>
        <w:t>bles des institutions engagées dans la lutte contre la corruption,</w:t>
      </w:r>
    </w:p>
    <w:p w:rsidR="002B0FC2" w:rsidRDefault="002B0FC2">
      <w:pPr>
        <w:spacing w:after="0" w:line="276" w:lineRule="auto"/>
        <w:jc w:val="both"/>
        <w:rPr>
          <w:rFonts w:ascii="Tahoma" w:hAnsi="Tahoma" w:cs="Tahoma"/>
          <w:bCs/>
          <w:sz w:val="18"/>
          <w:szCs w:val="34"/>
        </w:rPr>
      </w:pPr>
    </w:p>
    <w:p w:rsidR="002B0FC2" w:rsidRDefault="00103934">
      <w:pPr>
        <w:spacing w:after="0" w:line="276" w:lineRule="auto"/>
        <w:jc w:val="both"/>
        <w:rPr>
          <w:rFonts w:ascii="Tahoma" w:hAnsi="Tahoma" w:cs="Tahoma"/>
          <w:bCs/>
          <w:sz w:val="34"/>
          <w:szCs w:val="34"/>
        </w:rPr>
      </w:pPr>
      <w:r>
        <w:rPr>
          <w:rFonts w:ascii="Tahoma" w:hAnsi="Tahoma" w:cs="Tahoma"/>
          <w:bCs/>
          <w:sz w:val="34"/>
          <w:szCs w:val="34"/>
        </w:rPr>
        <w:t>Mesdames et Messieurs les professionnels des médias, toutes catégories confondues,</w:t>
      </w:r>
    </w:p>
    <w:p w:rsidR="002B0FC2" w:rsidRDefault="00103934">
      <w:pPr>
        <w:spacing w:after="0" w:line="276" w:lineRule="auto"/>
        <w:jc w:val="both"/>
        <w:rPr>
          <w:rFonts w:ascii="Tahoma" w:hAnsi="Tahoma" w:cs="Tahoma"/>
          <w:bCs/>
          <w:sz w:val="34"/>
          <w:szCs w:val="34"/>
        </w:rPr>
      </w:pPr>
      <w:r>
        <w:rPr>
          <w:rFonts w:ascii="Tahoma" w:hAnsi="Tahoma" w:cs="Tahoma"/>
          <w:sz w:val="34"/>
          <w:szCs w:val="34"/>
        </w:rPr>
        <w:br/>
      </w:r>
      <w:r>
        <w:rPr>
          <w:rFonts w:ascii="Tahoma" w:hAnsi="Tahoma" w:cs="Tahoma"/>
          <w:bCs/>
          <w:sz w:val="34"/>
          <w:szCs w:val="34"/>
        </w:rPr>
        <w:t>Chers invités, en vos titres, grades et qualités,</w:t>
      </w:r>
    </w:p>
    <w:p w:rsidR="002B0FC2" w:rsidRDefault="002B0FC2">
      <w:pPr>
        <w:spacing w:after="0" w:line="276" w:lineRule="auto"/>
        <w:jc w:val="both"/>
        <w:rPr>
          <w:rFonts w:ascii="Tahoma" w:hAnsi="Tahoma" w:cs="Tahoma"/>
          <w:b/>
          <w:bCs/>
          <w:sz w:val="34"/>
          <w:szCs w:val="34"/>
        </w:rPr>
      </w:pPr>
    </w:p>
    <w:p w:rsidR="002B0FC2" w:rsidRDefault="00103934">
      <w:pPr>
        <w:spacing w:after="0" w:line="276" w:lineRule="auto"/>
        <w:jc w:val="both"/>
        <w:rPr>
          <w:rFonts w:ascii="Tahoma" w:hAnsi="Tahoma" w:cs="Tahoma"/>
          <w:sz w:val="34"/>
          <w:szCs w:val="34"/>
        </w:rPr>
      </w:pPr>
      <w:r>
        <w:rPr>
          <w:rFonts w:ascii="Tahoma" w:hAnsi="Tahoma" w:cs="Tahoma"/>
          <w:b/>
          <w:bCs/>
          <w:sz w:val="34"/>
          <w:szCs w:val="34"/>
        </w:rPr>
        <w:t>Mesdames et Messieurs,</w:t>
      </w:r>
    </w:p>
    <w:p w:rsidR="002B0FC2" w:rsidRDefault="002B0FC2">
      <w:pPr>
        <w:spacing w:after="0" w:line="276" w:lineRule="auto"/>
        <w:ind w:left="360"/>
        <w:jc w:val="both"/>
        <w:rPr>
          <w:rFonts w:ascii="Tahoma" w:hAnsi="Tahoma" w:cs="Tahoma"/>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C'est avec un profond respect que je prends la parole devant vous, aujourd'hui, à l'occasion de la restitution des conclusions des travaux de la Commission de vérification des projets d’investissement dans les secteurs de l'eau et de l'énergie électrique d</w:t>
      </w:r>
      <w:r>
        <w:rPr>
          <w:rFonts w:ascii="Tahoma" w:hAnsi="Tahoma" w:cs="Tahoma"/>
          <w:sz w:val="34"/>
          <w:szCs w:val="34"/>
        </w:rPr>
        <w:t xml:space="preserve">ans la commune de Parakou de 2016 à 2025. </w:t>
      </w:r>
    </w:p>
    <w:p w:rsidR="002B0FC2" w:rsidRDefault="002B0FC2">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Cette séance marque une étape importante dans notre engagement commun à renforcer la transparence et la bonne gouvernance dans la gestion des ressources publiques au Bénin.</w:t>
      </w:r>
    </w:p>
    <w:p w:rsidR="002B0FC2" w:rsidRDefault="00103934">
      <w:pPr>
        <w:spacing w:after="0" w:line="276" w:lineRule="auto"/>
        <w:jc w:val="both"/>
        <w:rPr>
          <w:rFonts w:ascii="Tahoma" w:hAnsi="Tahoma" w:cs="Tahoma"/>
          <w:sz w:val="34"/>
          <w:szCs w:val="34"/>
        </w:rPr>
      </w:pPr>
      <w:r>
        <w:rPr>
          <w:rFonts w:ascii="Tahoma" w:hAnsi="Tahoma" w:cs="Tahoma"/>
          <w:sz w:val="34"/>
          <w:szCs w:val="34"/>
        </w:rPr>
        <w:lastRenderedPageBreak/>
        <w:t>Il y a quelques semaines, le 21 juin 20</w:t>
      </w:r>
      <w:r>
        <w:rPr>
          <w:rFonts w:ascii="Tahoma" w:hAnsi="Tahoma" w:cs="Tahoma"/>
          <w:sz w:val="34"/>
          <w:szCs w:val="34"/>
        </w:rPr>
        <w:t>25, de graves allégations de détournement présumés de fonds concernant les projets d’investissements dans les secteurs de l’eau et de l’énergie électrique à Parakou ont été publiquement formulées par un ancien ministre. Ces accusations ont alimenté un clim</w:t>
      </w:r>
      <w:r>
        <w:rPr>
          <w:rFonts w:ascii="Tahoma" w:hAnsi="Tahoma" w:cs="Tahoma"/>
          <w:sz w:val="34"/>
          <w:szCs w:val="34"/>
        </w:rPr>
        <w:t>at de doute et d'incertitude quant à la gestion de projets vitaux financés par le Gouvernement dans le but de l’amélioration des conditions de vie des populations. En réponse à ces préoccupations, le Haut-Commissariat à la Prévention de la Corruption (HCPC</w:t>
      </w:r>
      <w:r>
        <w:rPr>
          <w:rFonts w:ascii="Tahoma" w:hAnsi="Tahoma" w:cs="Tahoma"/>
          <w:sz w:val="34"/>
          <w:szCs w:val="34"/>
        </w:rPr>
        <w:t>), conformément à la loi n° 2020-09 du 23 avril 2020, a diligenté une mission de vérification des projets d'investissement, afin de faire toute la lumière sur ces accusations et d’évaluer l’efficacité et la transparence de la gestion des ressources publiqu</w:t>
      </w:r>
      <w:r>
        <w:rPr>
          <w:rFonts w:ascii="Tahoma" w:hAnsi="Tahoma" w:cs="Tahoma"/>
          <w:sz w:val="34"/>
          <w:szCs w:val="34"/>
        </w:rPr>
        <w:t>es dans ces secteurs vitaux.</w:t>
      </w:r>
    </w:p>
    <w:p w:rsidR="002B0FC2" w:rsidRDefault="002B0FC2">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b/>
          <w:bCs/>
          <w:sz w:val="34"/>
          <w:szCs w:val="34"/>
        </w:rPr>
      </w:pPr>
      <w:r>
        <w:rPr>
          <w:rFonts w:ascii="Tahoma" w:hAnsi="Tahoma" w:cs="Tahoma"/>
          <w:b/>
          <w:bCs/>
          <w:sz w:val="34"/>
          <w:szCs w:val="34"/>
        </w:rPr>
        <w:t>Mesdames et Messieurs,</w:t>
      </w:r>
      <w:bookmarkStart w:id="1" w:name="_GoBack"/>
      <w:bookmarkEnd w:id="1"/>
    </w:p>
    <w:p w:rsidR="002B0FC2" w:rsidRDefault="002B0FC2">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Les conclusions de cette mission de vérification sont désormais disponibles, et je suis heureux de vous annoncer que les allégations de détournement de fonds ont été rejetées par la Commission. Aucun él</w:t>
      </w:r>
      <w:r>
        <w:rPr>
          <w:rFonts w:ascii="Tahoma" w:hAnsi="Tahoma" w:cs="Tahoma"/>
          <w:sz w:val="34"/>
          <w:szCs w:val="34"/>
        </w:rPr>
        <w:t>ément n’a permis d’établir la moindre preuve de malversations ou de détournements de fonds publics. Les 31,6 milliards de FCFA investis dans les secteurs de l’eau et de l’énergie électrique de 2016 à 2025, à l'exception des projets financés par le Programm</w:t>
      </w:r>
      <w:r>
        <w:rPr>
          <w:rFonts w:ascii="Tahoma" w:hAnsi="Tahoma" w:cs="Tahoma"/>
          <w:sz w:val="34"/>
          <w:szCs w:val="34"/>
        </w:rPr>
        <w:t>e</w:t>
      </w:r>
      <w:r>
        <w:rPr>
          <w:rFonts w:cstheme="minorHAnsi"/>
        </w:rPr>
        <w:t xml:space="preserve"> </w:t>
      </w:r>
      <w:r>
        <w:rPr>
          <w:rFonts w:ascii="Tahoma" w:hAnsi="Tahoma" w:cs="Tahoma"/>
          <w:sz w:val="34"/>
          <w:szCs w:val="34"/>
        </w:rPr>
        <w:t>MCA-Bénin II, ont été utilisés conformément à leur objectif initial, à savoir l’amélioration des infrastructures essentielles au bénéfice des populations de Parakou :</w:t>
      </w:r>
    </w:p>
    <w:p w:rsidR="002B0FC2" w:rsidRDefault="00103934">
      <w:pPr>
        <w:spacing w:after="0" w:line="276" w:lineRule="auto"/>
        <w:jc w:val="both"/>
        <w:rPr>
          <w:rFonts w:ascii="Tahoma" w:hAnsi="Tahoma" w:cs="Tahoma"/>
          <w:sz w:val="34"/>
          <w:szCs w:val="34"/>
        </w:rPr>
      </w:pPr>
      <w:r>
        <w:rPr>
          <w:rFonts w:ascii="Tahoma" w:hAnsi="Tahoma" w:cs="Tahoma"/>
          <w:sz w:val="34"/>
          <w:szCs w:val="34"/>
        </w:rPr>
        <w:lastRenderedPageBreak/>
        <w:t>•</w:t>
      </w:r>
      <w:r>
        <w:rPr>
          <w:rFonts w:ascii="Tahoma" w:hAnsi="Tahoma" w:cs="Tahoma"/>
          <w:sz w:val="34"/>
          <w:szCs w:val="34"/>
        </w:rPr>
        <w:tab/>
        <w:t>les actions engagées par l’État ont permis de renforcer et de moderniser les infrastr</w:t>
      </w:r>
      <w:r>
        <w:rPr>
          <w:rFonts w:ascii="Tahoma" w:hAnsi="Tahoma" w:cs="Tahoma"/>
          <w:sz w:val="34"/>
          <w:szCs w:val="34"/>
        </w:rPr>
        <w:t>uctures dans les deux secteurs (eau et énergie électrique), entre 2016 et 2025 :</w:t>
      </w:r>
    </w:p>
    <w:p w:rsidR="002B0FC2" w:rsidRDefault="00103934">
      <w:pPr>
        <w:pStyle w:val="Paragraphedeliste"/>
        <w:numPr>
          <w:ilvl w:val="0"/>
          <w:numId w:val="2"/>
        </w:numPr>
        <w:spacing w:after="0" w:line="276" w:lineRule="auto"/>
        <w:jc w:val="both"/>
        <w:rPr>
          <w:rFonts w:ascii="Tahoma" w:hAnsi="Tahoma" w:cs="Tahoma"/>
          <w:sz w:val="34"/>
          <w:szCs w:val="34"/>
        </w:rPr>
      </w:pPr>
      <w:proofErr w:type="gramStart"/>
      <w:r>
        <w:rPr>
          <w:rFonts w:ascii="Tahoma" w:hAnsi="Tahoma" w:cs="Tahoma"/>
          <w:sz w:val="34"/>
          <w:szCs w:val="34"/>
        </w:rPr>
        <w:t>le</w:t>
      </w:r>
      <w:proofErr w:type="gramEnd"/>
      <w:r>
        <w:rPr>
          <w:rFonts w:ascii="Tahoma" w:hAnsi="Tahoma" w:cs="Tahoma"/>
          <w:sz w:val="34"/>
          <w:szCs w:val="34"/>
        </w:rPr>
        <w:t xml:space="preserve"> réseau de distribution d’eau potable de Parakou est passé de 445 km à 1 141 km de conduites installées (+156%) ;</w:t>
      </w:r>
    </w:p>
    <w:p w:rsidR="002B0FC2" w:rsidRDefault="00103934">
      <w:pPr>
        <w:pStyle w:val="Paragraphedeliste"/>
        <w:numPr>
          <w:ilvl w:val="0"/>
          <w:numId w:val="2"/>
        </w:numPr>
        <w:spacing w:after="0" w:line="276" w:lineRule="auto"/>
        <w:jc w:val="both"/>
        <w:rPr>
          <w:rFonts w:ascii="Tahoma" w:hAnsi="Tahoma" w:cs="Tahoma"/>
          <w:sz w:val="34"/>
          <w:szCs w:val="34"/>
        </w:rPr>
      </w:pPr>
      <w:proofErr w:type="gramStart"/>
      <w:r>
        <w:rPr>
          <w:rFonts w:ascii="Tahoma" w:hAnsi="Tahoma" w:cs="Tahoma"/>
          <w:sz w:val="34"/>
          <w:szCs w:val="34"/>
        </w:rPr>
        <w:t>la</w:t>
      </w:r>
      <w:proofErr w:type="gramEnd"/>
      <w:r>
        <w:rPr>
          <w:rFonts w:ascii="Tahoma" w:hAnsi="Tahoma" w:cs="Tahoma"/>
          <w:sz w:val="34"/>
          <w:szCs w:val="34"/>
        </w:rPr>
        <w:t xml:space="preserve"> capacité de production d’eau potable est passée de </w:t>
      </w:r>
    </w:p>
    <w:p w:rsidR="002B0FC2" w:rsidRDefault="00103934">
      <w:pPr>
        <w:pStyle w:val="Paragraphedeliste"/>
        <w:spacing w:after="0" w:line="276" w:lineRule="auto"/>
        <w:jc w:val="both"/>
        <w:rPr>
          <w:rFonts w:ascii="Tahoma" w:hAnsi="Tahoma" w:cs="Tahoma"/>
          <w:sz w:val="34"/>
          <w:szCs w:val="34"/>
        </w:rPr>
      </w:pPr>
      <w:r>
        <w:rPr>
          <w:rFonts w:ascii="Tahoma" w:hAnsi="Tahoma" w:cs="Tahoma"/>
          <w:sz w:val="34"/>
          <w:szCs w:val="34"/>
        </w:rPr>
        <w:t xml:space="preserve">400 </w:t>
      </w:r>
      <w:r>
        <w:rPr>
          <w:rFonts w:ascii="Tahoma" w:hAnsi="Tahoma" w:cs="Tahoma"/>
          <w:sz w:val="34"/>
          <w:szCs w:val="34"/>
        </w:rPr>
        <w:t>m³/h à 2 400 m³/h (+500%) ;</w:t>
      </w:r>
    </w:p>
    <w:p w:rsidR="002B0FC2" w:rsidRDefault="00103934">
      <w:pPr>
        <w:pStyle w:val="Paragraphedeliste"/>
        <w:numPr>
          <w:ilvl w:val="0"/>
          <w:numId w:val="2"/>
        </w:numPr>
        <w:spacing w:after="0" w:line="276" w:lineRule="auto"/>
        <w:jc w:val="both"/>
        <w:rPr>
          <w:rFonts w:ascii="Tahoma" w:hAnsi="Tahoma" w:cs="Tahoma"/>
          <w:sz w:val="34"/>
          <w:szCs w:val="34"/>
        </w:rPr>
      </w:pPr>
      <w:proofErr w:type="gramStart"/>
      <w:r>
        <w:rPr>
          <w:rFonts w:ascii="Tahoma" w:hAnsi="Tahoma" w:cs="Tahoma"/>
          <w:sz w:val="34"/>
          <w:szCs w:val="34"/>
        </w:rPr>
        <w:t>le</w:t>
      </w:r>
      <w:proofErr w:type="gramEnd"/>
      <w:r>
        <w:rPr>
          <w:rFonts w:ascii="Tahoma" w:hAnsi="Tahoma" w:cs="Tahoma"/>
          <w:sz w:val="34"/>
          <w:szCs w:val="34"/>
        </w:rPr>
        <w:t xml:space="preserve"> nombre d’abonnés à l’eau potable est passé de 16 537 à 28 193 (+70%) ;</w:t>
      </w:r>
    </w:p>
    <w:p w:rsidR="002B0FC2" w:rsidRDefault="00103934">
      <w:pPr>
        <w:pStyle w:val="Paragraphedeliste"/>
        <w:numPr>
          <w:ilvl w:val="0"/>
          <w:numId w:val="2"/>
        </w:numPr>
        <w:spacing w:after="0" w:line="276" w:lineRule="auto"/>
        <w:jc w:val="both"/>
        <w:rPr>
          <w:rFonts w:ascii="Tahoma" w:hAnsi="Tahoma" w:cs="Tahoma"/>
          <w:sz w:val="34"/>
          <w:szCs w:val="34"/>
        </w:rPr>
      </w:pPr>
      <w:proofErr w:type="gramStart"/>
      <w:r>
        <w:rPr>
          <w:rFonts w:ascii="Tahoma" w:hAnsi="Tahoma" w:cs="Tahoma"/>
          <w:sz w:val="34"/>
          <w:szCs w:val="34"/>
        </w:rPr>
        <w:t>des</w:t>
      </w:r>
      <w:proofErr w:type="gramEnd"/>
      <w:r>
        <w:rPr>
          <w:rFonts w:ascii="Tahoma" w:hAnsi="Tahoma" w:cs="Tahoma"/>
          <w:sz w:val="34"/>
          <w:szCs w:val="34"/>
        </w:rPr>
        <w:t xml:space="preserve"> forages additionnels ont été réalisés en zones périphériques pour améliorer l’accès à l’eau potable dans les quartiers non raccordés au réseau SONEB ;</w:t>
      </w:r>
    </w:p>
    <w:p w:rsidR="002B0FC2" w:rsidRDefault="00103934">
      <w:pPr>
        <w:pStyle w:val="Paragraphedeliste"/>
        <w:numPr>
          <w:ilvl w:val="0"/>
          <w:numId w:val="2"/>
        </w:numPr>
        <w:spacing w:after="0" w:line="276" w:lineRule="auto"/>
        <w:jc w:val="both"/>
        <w:rPr>
          <w:rFonts w:ascii="Tahoma" w:hAnsi="Tahoma" w:cs="Tahoma"/>
          <w:sz w:val="34"/>
          <w:szCs w:val="34"/>
        </w:rPr>
      </w:pPr>
      <w:proofErr w:type="gramStart"/>
      <w:r>
        <w:rPr>
          <w:rFonts w:ascii="Tahoma" w:hAnsi="Tahoma" w:cs="Tahoma"/>
          <w:sz w:val="34"/>
          <w:szCs w:val="34"/>
        </w:rPr>
        <w:t>le</w:t>
      </w:r>
      <w:proofErr w:type="gramEnd"/>
      <w:r>
        <w:rPr>
          <w:rFonts w:ascii="Tahoma" w:hAnsi="Tahoma" w:cs="Tahoma"/>
          <w:sz w:val="34"/>
          <w:szCs w:val="34"/>
        </w:rPr>
        <w:t xml:space="preserve"> nombre d’abonnés au réseau électrique de Parakou est passé de 26 756 à 49 200 (+84%) ;</w:t>
      </w:r>
    </w:p>
    <w:p w:rsidR="002B0FC2" w:rsidRDefault="00103934">
      <w:pPr>
        <w:pStyle w:val="Paragraphedeliste"/>
        <w:numPr>
          <w:ilvl w:val="0"/>
          <w:numId w:val="2"/>
        </w:numPr>
        <w:spacing w:after="0" w:line="276" w:lineRule="auto"/>
        <w:jc w:val="both"/>
        <w:rPr>
          <w:rFonts w:ascii="Tahoma" w:hAnsi="Tahoma" w:cs="Tahoma"/>
          <w:sz w:val="34"/>
          <w:szCs w:val="34"/>
        </w:rPr>
      </w:pPr>
      <w:proofErr w:type="gramStart"/>
      <w:r>
        <w:rPr>
          <w:rFonts w:ascii="Tahoma" w:hAnsi="Tahoma" w:cs="Tahoma"/>
          <w:sz w:val="34"/>
          <w:szCs w:val="34"/>
        </w:rPr>
        <w:t>la</w:t>
      </w:r>
      <w:proofErr w:type="gramEnd"/>
      <w:r>
        <w:rPr>
          <w:rFonts w:ascii="Tahoma" w:hAnsi="Tahoma" w:cs="Tahoma"/>
          <w:sz w:val="34"/>
          <w:szCs w:val="34"/>
        </w:rPr>
        <w:t xml:space="preserve"> capacité de production locale d’électricité de 12 MW a été rétablie.</w:t>
      </w:r>
    </w:p>
    <w:p w:rsidR="002B0FC2" w:rsidRDefault="00103934">
      <w:pPr>
        <w:spacing w:after="0" w:line="276" w:lineRule="auto"/>
        <w:jc w:val="both"/>
        <w:rPr>
          <w:rFonts w:ascii="Tahoma" w:hAnsi="Tahoma" w:cs="Tahoma"/>
          <w:sz w:val="34"/>
          <w:szCs w:val="34"/>
        </w:rPr>
      </w:pPr>
      <w:r>
        <w:rPr>
          <w:rFonts w:ascii="Tahoma" w:hAnsi="Tahoma" w:cs="Tahoma"/>
          <w:sz w:val="34"/>
          <w:szCs w:val="34"/>
        </w:rPr>
        <w:t>•</w:t>
      </w:r>
      <w:r>
        <w:rPr>
          <w:rFonts w:ascii="Tahoma" w:hAnsi="Tahoma" w:cs="Tahoma"/>
          <w:sz w:val="34"/>
          <w:szCs w:val="34"/>
        </w:rPr>
        <w:tab/>
        <w:t>Sur le plan de la gouvernance administrative et financière, la Commission a noté :</w:t>
      </w:r>
    </w:p>
    <w:p w:rsidR="002B0FC2" w:rsidRDefault="00103934">
      <w:pPr>
        <w:pStyle w:val="Paragraphedeliste"/>
        <w:numPr>
          <w:ilvl w:val="0"/>
          <w:numId w:val="3"/>
        </w:numPr>
        <w:spacing w:after="0" w:line="276" w:lineRule="auto"/>
        <w:jc w:val="both"/>
        <w:rPr>
          <w:rFonts w:ascii="Tahoma" w:hAnsi="Tahoma" w:cs="Tahoma"/>
          <w:sz w:val="34"/>
          <w:szCs w:val="34"/>
        </w:rPr>
      </w:pPr>
      <w:proofErr w:type="gramStart"/>
      <w:r>
        <w:rPr>
          <w:rFonts w:ascii="Tahoma" w:hAnsi="Tahoma" w:cs="Tahoma"/>
          <w:sz w:val="34"/>
          <w:szCs w:val="34"/>
        </w:rPr>
        <w:t>un</w:t>
      </w:r>
      <w:proofErr w:type="gramEnd"/>
      <w:r>
        <w:rPr>
          <w:rFonts w:ascii="Tahoma" w:hAnsi="Tahoma" w:cs="Tahoma"/>
          <w:sz w:val="34"/>
          <w:szCs w:val="34"/>
        </w:rPr>
        <w:t xml:space="preserve"> manqu</w:t>
      </w:r>
      <w:r>
        <w:rPr>
          <w:rFonts w:ascii="Tahoma" w:hAnsi="Tahoma" w:cs="Tahoma"/>
          <w:sz w:val="34"/>
          <w:szCs w:val="34"/>
        </w:rPr>
        <w:t>e de pertinence dans la définition des besoins inscrits aux plans de passation des marchés du ministère ;</w:t>
      </w:r>
    </w:p>
    <w:p w:rsidR="002B0FC2" w:rsidRDefault="00103934">
      <w:pPr>
        <w:pStyle w:val="Paragraphedeliste"/>
        <w:numPr>
          <w:ilvl w:val="0"/>
          <w:numId w:val="3"/>
        </w:numPr>
        <w:spacing w:after="0" w:line="276" w:lineRule="auto"/>
        <w:jc w:val="both"/>
        <w:rPr>
          <w:rFonts w:ascii="Tahoma" w:hAnsi="Tahoma" w:cs="Tahoma"/>
          <w:sz w:val="34"/>
          <w:szCs w:val="34"/>
        </w:rPr>
      </w:pPr>
      <w:proofErr w:type="gramStart"/>
      <w:r>
        <w:rPr>
          <w:rFonts w:ascii="Tahoma" w:hAnsi="Tahoma" w:cs="Tahoma"/>
          <w:sz w:val="34"/>
          <w:szCs w:val="34"/>
        </w:rPr>
        <w:t>une</w:t>
      </w:r>
      <w:proofErr w:type="gramEnd"/>
      <w:r>
        <w:rPr>
          <w:rFonts w:ascii="Tahoma" w:hAnsi="Tahoma" w:cs="Tahoma"/>
          <w:sz w:val="34"/>
          <w:szCs w:val="34"/>
        </w:rPr>
        <w:t xml:space="preserve"> insuffisance de personnel qualifié au sein du Secrétariat Permanent des Marchés Publics du Ministère de l’Energie, de l’Eau et des Mines (MEEM) ;</w:t>
      </w:r>
    </w:p>
    <w:p w:rsidR="002B0FC2" w:rsidRDefault="00103934">
      <w:pPr>
        <w:pStyle w:val="Paragraphedeliste"/>
        <w:numPr>
          <w:ilvl w:val="0"/>
          <w:numId w:val="3"/>
        </w:numPr>
        <w:spacing w:after="0" w:line="276" w:lineRule="auto"/>
        <w:jc w:val="both"/>
        <w:rPr>
          <w:rFonts w:ascii="Tahoma" w:hAnsi="Tahoma" w:cs="Tahoma"/>
          <w:sz w:val="34"/>
          <w:szCs w:val="34"/>
        </w:rPr>
      </w:pPr>
      <w:proofErr w:type="gramStart"/>
      <w:r>
        <w:rPr>
          <w:rFonts w:ascii="Tahoma" w:hAnsi="Tahoma" w:cs="Tahoma"/>
          <w:sz w:val="34"/>
          <w:szCs w:val="34"/>
        </w:rPr>
        <w:t>une</w:t>
      </w:r>
      <w:proofErr w:type="gramEnd"/>
      <w:r>
        <w:rPr>
          <w:rFonts w:ascii="Tahoma" w:hAnsi="Tahoma" w:cs="Tahoma"/>
          <w:sz w:val="34"/>
          <w:szCs w:val="34"/>
        </w:rPr>
        <w:t xml:space="preserve"> instabilité récurrente à la fonction de Personne Responsable des Marchés Publics (PRMP) au sein du ministère.</w:t>
      </w:r>
    </w:p>
    <w:p w:rsidR="002B0FC2" w:rsidRDefault="002B0FC2">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 xml:space="preserve">Plusieurs autres faiblesses ont été identifiées dans la lourdeur des procédures de passation des marchés au niveau local </w:t>
      </w:r>
      <w:r>
        <w:rPr>
          <w:rFonts w:ascii="Tahoma" w:hAnsi="Tahoma" w:cs="Tahoma"/>
          <w:sz w:val="34"/>
          <w:szCs w:val="34"/>
        </w:rPr>
        <w:lastRenderedPageBreak/>
        <w:t>retardant l’exécutio</w:t>
      </w:r>
      <w:r>
        <w:rPr>
          <w:rFonts w:ascii="Tahoma" w:hAnsi="Tahoma" w:cs="Tahoma"/>
          <w:sz w:val="34"/>
          <w:szCs w:val="34"/>
        </w:rPr>
        <w:t xml:space="preserve">n des travaux, notamment en raison de la lenteur dans l'ouverture des voies d'accès. </w:t>
      </w:r>
    </w:p>
    <w:p w:rsidR="002B0FC2" w:rsidRDefault="002B0FC2">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b/>
          <w:bCs/>
          <w:sz w:val="34"/>
          <w:szCs w:val="34"/>
        </w:rPr>
      </w:pPr>
      <w:r>
        <w:rPr>
          <w:rFonts w:ascii="Tahoma" w:hAnsi="Tahoma" w:cs="Tahoma"/>
          <w:b/>
          <w:bCs/>
          <w:sz w:val="34"/>
          <w:szCs w:val="34"/>
        </w:rPr>
        <w:t>Mesdames et Messieurs,</w:t>
      </w:r>
    </w:p>
    <w:p w:rsidR="002B0FC2" w:rsidRDefault="002B0FC2">
      <w:pPr>
        <w:spacing w:after="0" w:line="276" w:lineRule="auto"/>
        <w:jc w:val="both"/>
        <w:rPr>
          <w:rFonts w:ascii="Tahoma" w:hAnsi="Tahoma" w:cs="Tahoma"/>
          <w:b/>
          <w:bCs/>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À la lumière de ces constatations, la Commission a formulé plusieurs recommandations essentielles pour renforcer la gouvernance et la transparenc</w:t>
      </w:r>
      <w:r>
        <w:rPr>
          <w:rFonts w:ascii="Tahoma" w:hAnsi="Tahoma" w:cs="Tahoma"/>
          <w:sz w:val="34"/>
          <w:szCs w:val="34"/>
        </w:rPr>
        <w:t>e dans la gestion des projets. Il s'agit notamment de :</w:t>
      </w:r>
    </w:p>
    <w:p w:rsidR="002B0FC2" w:rsidRDefault="00103934">
      <w:pPr>
        <w:pStyle w:val="Paragraphedeliste"/>
        <w:numPr>
          <w:ilvl w:val="0"/>
          <w:numId w:val="4"/>
        </w:numPr>
        <w:spacing w:after="0" w:line="276" w:lineRule="auto"/>
        <w:jc w:val="both"/>
        <w:rPr>
          <w:rFonts w:ascii="Tahoma" w:hAnsi="Tahoma" w:cs="Tahoma"/>
          <w:sz w:val="34"/>
          <w:szCs w:val="34"/>
        </w:rPr>
      </w:pPr>
      <w:proofErr w:type="gramStart"/>
      <w:r>
        <w:rPr>
          <w:rFonts w:ascii="Tahoma" w:hAnsi="Tahoma" w:cs="Tahoma"/>
          <w:sz w:val="34"/>
          <w:szCs w:val="34"/>
        </w:rPr>
        <w:t>réformer</w:t>
      </w:r>
      <w:proofErr w:type="gramEnd"/>
      <w:r>
        <w:rPr>
          <w:rFonts w:ascii="Tahoma" w:hAnsi="Tahoma" w:cs="Tahoma"/>
          <w:sz w:val="34"/>
          <w:szCs w:val="34"/>
        </w:rPr>
        <w:t xml:space="preserve"> les procédures de passation des marchés publics pour en améliorer la célérité et la transparence et </w:t>
      </w:r>
    </w:p>
    <w:p w:rsidR="002B0FC2" w:rsidRDefault="00103934" w:rsidP="002952B8">
      <w:pPr>
        <w:pStyle w:val="Paragraphedeliste"/>
        <w:numPr>
          <w:ilvl w:val="0"/>
          <w:numId w:val="4"/>
        </w:numPr>
        <w:spacing w:line="276" w:lineRule="auto"/>
        <w:jc w:val="both"/>
        <w:rPr>
          <w:rFonts w:ascii="Tahoma" w:hAnsi="Tahoma" w:cs="Tahoma"/>
          <w:sz w:val="34"/>
          <w:szCs w:val="34"/>
        </w:rPr>
      </w:pPr>
      <w:proofErr w:type="gramStart"/>
      <w:r>
        <w:rPr>
          <w:rFonts w:ascii="Tahoma" w:hAnsi="Tahoma" w:cs="Tahoma"/>
          <w:sz w:val="34"/>
          <w:szCs w:val="34"/>
        </w:rPr>
        <w:t>favoriser</w:t>
      </w:r>
      <w:proofErr w:type="gramEnd"/>
      <w:r>
        <w:rPr>
          <w:rFonts w:ascii="Tahoma" w:hAnsi="Tahoma" w:cs="Tahoma"/>
          <w:sz w:val="34"/>
          <w:szCs w:val="34"/>
        </w:rPr>
        <w:t xml:space="preserve"> l’accélération de la viabilisation des quartiers périphériques. </w:t>
      </w:r>
    </w:p>
    <w:p w:rsidR="002B0FC2" w:rsidRDefault="00103934" w:rsidP="002952B8">
      <w:pPr>
        <w:spacing w:line="276" w:lineRule="auto"/>
        <w:jc w:val="both"/>
        <w:rPr>
          <w:rFonts w:ascii="Tahoma" w:hAnsi="Tahoma" w:cs="Tahoma"/>
          <w:sz w:val="34"/>
          <w:szCs w:val="34"/>
        </w:rPr>
      </w:pPr>
      <w:r>
        <w:rPr>
          <w:rFonts w:ascii="Tahoma" w:hAnsi="Tahoma" w:cs="Tahoma"/>
          <w:sz w:val="34"/>
          <w:szCs w:val="34"/>
        </w:rPr>
        <w:t>Il urge de crée</w:t>
      </w:r>
      <w:r>
        <w:rPr>
          <w:rFonts w:ascii="Tahoma" w:hAnsi="Tahoma" w:cs="Tahoma"/>
          <w:sz w:val="34"/>
          <w:szCs w:val="34"/>
        </w:rPr>
        <w:t>r des unités focales anticorruption au sein du Ministère pour une alerte précoce.</w:t>
      </w:r>
    </w:p>
    <w:p w:rsidR="002B0FC2" w:rsidRDefault="00103934" w:rsidP="002952B8">
      <w:pPr>
        <w:spacing w:line="276" w:lineRule="auto"/>
        <w:jc w:val="both"/>
        <w:rPr>
          <w:rFonts w:ascii="Tahoma" w:hAnsi="Tahoma" w:cs="Tahoma"/>
          <w:sz w:val="34"/>
          <w:szCs w:val="34"/>
        </w:rPr>
      </w:pPr>
      <w:r>
        <w:rPr>
          <w:rFonts w:ascii="Tahoma" w:hAnsi="Tahoma" w:cs="Tahoma"/>
          <w:sz w:val="34"/>
          <w:szCs w:val="34"/>
        </w:rPr>
        <w:t>Ces mesures visent à garantir que les bénéfices des projets atteignent véritablement les populations dans les meilleurs délais.</w:t>
      </w:r>
    </w:p>
    <w:p w:rsidR="002B0FC2" w:rsidRDefault="00103934" w:rsidP="002952B8">
      <w:pPr>
        <w:spacing w:line="276" w:lineRule="auto"/>
        <w:jc w:val="both"/>
        <w:rPr>
          <w:rFonts w:ascii="Tahoma" w:hAnsi="Tahoma" w:cs="Tahoma"/>
          <w:sz w:val="34"/>
          <w:szCs w:val="34"/>
        </w:rPr>
      </w:pPr>
      <w:r>
        <w:rPr>
          <w:rFonts w:ascii="Tahoma" w:hAnsi="Tahoma" w:cs="Tahoma"/>
          <w:sz w:val="34"/>
          <w:szCs w:val="34"/>
        </w:rPr>
        <w:t>Je tiens à souligner que l'engagement du Haut-</w:t>
      </w:r>
      <w:r>
        <w:rPr>
          <w:rFonts w:ascii="Tahoma" w:hAnsi="Tahoma" w:cs="Tahoma"/>
          <w:sz w:val="34"/>
          <w:szCs w:val="34"/>
        </w:rPr>
        <w:t xml:space="preserve">Commissariat à la Prévention de la Corruption (HCPC) à promouvoir la transparence et la bonne gouvernance reste inébranlable. </w:t>
      </w:r>
    </w:p>
    <w:p w:rsidR="002B0FC2" w:rsidRPr="002952B8" w:rsidRDefault="002B0FC2">
      <w:pPr>
        <w:spacing w:after="0" w:line="276" w:lineRule="auto"/>
        <w:jc w:val="both"/>
        <w:rPr>
          <w:rFonts w:ascii="Tahoma" w:hAnsi="Tahoma" w:cs="Tahoma"/>
          <w:sz w:val="2"/>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Nous continuerons de travailler avec tous nos partenaires, qu’ils soient institutionnels, techniques, financiers ou de la sociét</w:t>
      </w:r>
      <w:r>
        <w:rPr>
          <w:rFonts w:ascii="Tahoma" w:hAnsi="Tahoma" w:cs="Tahoma"/>
          <w:sz w:val="34"/>
          <w:szCs w:val="34"/>
        </w:rPr>
        <w:t>é civile, pour prévenir la corruption, garantir l’utilisation efficiente des ressources publiques et renforcer la confiance des citoyens dans les institutions de la République.</w:t>
      </w:r>
    </w:p>
    <w:p w:rsidR="002B0FC2" w:rsidRDefault="002B0FC2">
      <w:pPr>
        <w:spacing w:after="0" w:line="276" w:lineRule="auto"/>
        <w:jc w:val="both"/>
        <w:rPr>
          <w:rFonts w:ascii="Tahoma" w:hAnsi="Tahoma" w:cs="Tahoma"/>
          <w:sz w:val="34"/>
          <w:szCs w:val="34"/>
        </w:rPr>
      </w:pPr>
    </w:p>
    <w:p w:rsidR="002952B8" w:rsidRDefault="002952B8">
      <w:pPr>
        <w:spacing w:after="0" w:line="276" w:lineRule="auto"/>
        <w:jc w:val="both"/>
        <w:rPr>
          <w:rFonts w:ascii="Tahoma" w:hAnsi="Tahoma" w:cs="Tahoma"/>
          <w:sz w:val="34"/>
          <w:szCs w:val="34"/>
        </w:rPr>
      </w:pPr>
    </w:p>
    <w:p w:rsidR="002952B8" w:rsidRDefault="002952B8">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b/>
          <w:bCs/>
          <w:sz w:val="34"/>
          <w:szCs w:val="34"/>
        </w:rPr>
      </w:pPr>
      <w:r>
        <w:rPr>
          <w:rFonts w:ascii="Tahoma" w:hAnsi="Tahoma" w:cs="Tahoma"/>
          <w:b/>
          <w:bCs/>
          <w:sz w:val="34"/>
          <w:szCs w:val="34"/>
        </w:rPr>
        <w:lastRenderedPageBreak/>
        <w:t>Mesdames et Messieurs,</w:t>
      </w:r>
    </w:p>
    <w:p w:rsidR="002B0FC2" w:rsidRDefault="002B0FC2">
      <w:pPr>
        <w:spacing w:after="0" w:line="276" w:lineRule="auto"/>
        <w:jc w:val="both"/>
        <w:rPr>
          <w:rFonts w:ascii="Tahoma" w:hAnsi="Tahoma" w:cs="Tahoma"/>
          <w:b/>
          <w:bCs/>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 xml:space="preserve">Je vous assure que le HCPC restera vigilant dans la </w:t>
      </w:r>
      <w:r>
        <w:rPr>
          <w:rFonts w:ascii="Tahoma" w:hAnsi="Tahoma" w:cs="Tahoma"/>
          <w:sz w:val="34"/>
          <w:szCs w:val="34"/>
        </w:rPr>
        <w:t>surveillance de la gestion des projets publics et dans la lutte contre la corruption. Nous avons pris acte des progrès réalisés, tout en identifiant les défis à surmonter pour garantir un développement socio-économique durable de notre cher et beau pays, l</w:t>
      </w:r>
      <w:r>
        <w:rPr>
          <w:rFonts w:ascii="Tahoma" w:hAnsi="Tahoma" w:cs="Tahoma"/>
          <w:sz w:val="34"/>
          <w:szCs w:val="34"/>
        </w:rPr>
        <w:t>e Bénin.</w:t>
      </w:r>
    </w:p>
    <w:p w:rsidR="002B0FC2" w:rsidRDefault="002B0FC2">
      <w:pPr>
        <w:spacing w:after="0" w:line="276" w:lineRule="auto"/>
        <w:jc w:val="both"/>
        <w:rPr>
          <w:rFonts w:ascii="Tahoma" w:hAnsi="Tahoma" w:cs="Tahoma"/>
          <w:sz w:val="34"/>
          <w:szCs w:val="34"/>
        </w:rPr>
      </w:pPr>
    </w:p>
    <w:p w:rsidR="002B0FC2" w:rsidRDefault="00103934">
      <w:pPr>
        <w:spacing w:after="0" w:line="276" w:lineRule="auto"/>
        <w:jc w:val="both"/>
        <w:rPr>
          <w:rFonts w:ascii="Tahoma" w:hAnsi="Tahoma" w:cs="Tahoma"/>
          <w:sz w:val="34"/>
          <w:szCs w:val="34"/>
        </w:rPr>
      </w:pPr>
      <w:r>
        <w:rPr>
          <w:rFonts w:ascii="Tahoma" w:hAnsi="Tahoma" w:cs="Tahoma"/>
          <w:sz w:val="34"/>
          <w:szCs w:val="34"/>
        </w:rPr>
        <w:t>Je vous remercie pour votre attention et votre engagement continu envers la transparence, la bonne gouvernance et la lutte contre la corruption.</w:t>
      </w:r>
    </w:p>
    <w:p w:rsidR="002B0FC2" w:rsidRDefault="002B0FC2">
      <w:pPr>
        <w:spacing w:after="0" w:line="276" w:lineRule="auto"/>
        <w:jc w:val="both"/>
        <w:rPr>
          <w:rFonts w:ascii="Tahoma" w:hAnsi="Tahoma" w:cs="Tahoma"/>
          <w:sz w:val="34"/>
          <w:szCs w:val="34"/>
        </w:rPr>
      </w:pPr>
    </w:p>
    <w:p w:rsidR="002B0FC2" w:rsidRDefault="00103934">
      <w:pPr>
        <w:spacing w:after="0" w:line="360" w:lineRule="auto"/>
        <w:jc w:val="both"/>
        <w:rPr>
          <w:rFonts w:ascii="Tahoma" w:hAnsi="Tahoma" w:cs="Tahoma"/>
          <w:b/>
          <w:bCs/>
          <w:sz w:val="34"/>
          <w:szCs w:val="34"/>
        </w:rPr>
      </w:pPr>
      <w:r>
        <w:rPr>
          <w:rFonts w:ascii="Tahoma" w:hAnsi="Tahoma" w:cs="Tahoma"/>
          <w:b/>
          <w:bCs/>
          <w:sz w:val="34"/>
          <w:szCs w:val="34"/>
        </w:rPr>
        <w:t>Vive la République du Bénin !</w:t>
      </w:r>
    </w:p>
    <w:p w:rsidR="002B0FC2" w:rsidRDefault="00103934">
      <w:pPr>
        <w:spacing w:after="0" w:line="360" w:lineRule="auto"/>
        <w:jc w:val="both"/>
        <w:rPr>
          <w:rFonts w:ascii="Tahoma" w:hAnsi="Tahoma" w:cs="Tahoma"/>
          <w:b/>
          <w:bCs/>
          <w:sz w:val="34"/>
          <w:szCs w:val="34"/>
        </w:rPr>
      </w:pPr>
      <w:r>
        <w:rPr>
          <w:rFonts w:ascii="Tahoma" w:hAnsi="Tahoma" w:cs="Tahoma"/>
          <w:b/>
          <w:bCs/>
          <w:sz w:val="34"/>
          <w:szCs w:val="34"/>
        </w:rPr>
        <w:t>Vive la transparence et la bonne gouvernance !</w:t>
      </w:r>
    </w:p>
    <w:p w:rsidR="002B0FC2" w:rsidRDefault="00103934">
      <w:pPr>
        <w:spacing w:after="0" w:line="360" w:lineRule="auto"/>
        <w:jc w:val="both"/>
        <w:rPr>
          <w:rFonts w:ascii="Tahoma" w:hAnsi="Tahoma" w:cs="Tahoma"/>
          <w:sz w:val="34"/>
          <w:szCs w:val="34"/>
        </w:rPr>
      </w:pPr>
      <w:r>
        <w:rPr>
          <w:rFonts w:ascii="Tahoma" w:hAnsi="Tahoma" w:cs="Tahoma"/>
          <w:b/>
          <w:bCs/>
          <w:sz w:val="34"/>
          <w:szCs w:val="34"/>
        </w:rPr>
        <w:t>Je vous remercie.</w:t>
      </w:r>
      <w:bookmarkEnd w:id="0"/>
    </w:p>
    <w:sectPr w:rsidR="002B0FC2">
      <w:headerReference w:type="first" r:id="rId15"/>
      <w:pgSz w:w="11906" w:h="16838"/>
      <w:pgMar w:top="993" w:right="1133"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934" w:rsidRDefault="00103934">
      <w:pPr>
        <w:spacing w:line="240" w:lineRule="auto"/>
      </w:pPr>
      <w:r>
        <w:separator/>
      </w:r>
    </w:p>
  </w:endnote>
  <w:endnote w:type="continuationSeparator" w:id="0">
    <w:p w:rsidR="00103934" w:rsidRDefault="00103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Light">
    <w:altName w:val="Calibri"/>
    <w:charset w:val="00"/>
    <w:family w:val="auto"/>
    <w:pitch w:val="default"/>
    <w:sig w:usb0="00000000"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C2" w:rsidRDefault="002B0F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2143998848"/>
      <w:docPartObj>
        <w:docPartGallery w:val="AutoText"/>
      </w:docPartObj>
    </w:sdtPr>
    <w:sdtEndPr/>
    <w:sdtContent>
      <w:sdt>
        <w:sdtPr>
          <w:rPr>
            <w:rFonts w:asciiTheme="majorHAnsi" w:eastAsiaTheme="majorEastAsia" w:hAnsiTheme="majorHAnsi" w:cstheme="majorBidi"/>
          </w:rPr>
          <w:id w:val="1806425445"/>
          <w:showingPlcHdr/>
        </w:sdtPr>
        <w:sdtEndPr/>
        <w:sdtContent>
          <w:p w:rsidR="002B0FC2" w:rsidRDefault="00103934">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rsidR="002B0FC2" w:rsidRDefault="002B0FC2">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C2" w:rsidRDefault="002B0FC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934" w:rsidRDefault="00103934">
      <w:pPr>
        <w:spacing w:after="0"/>
      </w:pPr>
      <w:r>
        <w:separator/>
      </w:r>
    </w:p>
  </w:footnote>
  <w:footnote w:type="continuationSeparator" w:id="0">
    <w:p w:rsidR="00103934" w:rsidRDefault="001039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97123181"/>
    </w:sdtPr>
    <w:sdtEndPr>
      <w:rPr>
        <w:rStyle w:val="Numrodepage"/>
      </w:rPr>
    </w:sdtEndPr>
    <w:sdtContent>
      <w:p w:rsidR="002B0FC2" w:rsidRDefault="00103934">
        <w:pPr>
          <w:pStyle w:val="En-tte"/>
          <w:framePr w:wrap="auto"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sdtContent>
  </w:sdt>
  <w:p w:rsidR="002B0FC2" w:rsidRDefault="002B0FC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C2" w:rsidRDefault="002B0F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C2" w:rsidRDefault="00103934">
    <w:pPr>
      <w:pStyle w:val="En-tte"/>
    </w:pPr>
    <w:r>
      <w:rPr>
        <w:noProof/>
      </w:rPr>
      <w:drawing>
        <wp:anchor distT="0" distB="0" distL="114300" distR="114300" simplePos="0" relativeHeight="251659264" behindDoc="1" locked="0" layoutInCell="1" allowOverlap="1">
          <wp:simplePos x="0" y="0"/>
          <wp:positionH relativeFrom="page">
            <wp:posOffset>-107950</wp:posOffset>
          </wp:positionH>
          <wp:positionV relativeFrom="paragraph">
            <wp:posOffset>-570230</wp:posOffset>
          </wp:positionV>
          <wp:extent cx="7518400" cy="10629900"/>
          <wp:effectExtent l="0" t="0" r="6350" b="0"/>
          <wp:wrapNone/>
          <wp:docPr id="936441450" name="Image 93644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41450" name="Image 9364414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18602" cy="106299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FC2" w:rsidRDefault="002B0F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4F8"/>
    <w:multiLevelType w:val="multilevel"/>
    <w:tmpl w:val="037304F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E706917"/>
    <w:multiLevelType w:val="multilevel"/>
    <w:tmpl w:val="1E7069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30534C"/>
    <w:multiLevelType w:val="multilevel"/>
    <w:tmpl w:val="303053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382B91"/>
    <w:multiLevelType w:val="multilevel"/>
    <w:tmpl w:val="58382B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95"/>
    <w:rsid w:val="000000E4"/>
    <w:rsid w:val="00001CC2"/>
    <w:rsid w:val="0000438E"/>
    <w:rsid w:val="00007C7E"/>
    <w:rsid w:val="0001161B"/>
    <w:rsid w:val="0001395B"/>
    <w:rsid w:val="000140E4"/>
    <w:rsid w:val="0001754C"/>
    <w:rsid w:val="00021289"/>
    <w:rsid w:val="00022435"/>
    <w:rsid w:val="00022A16"/>
    <w:rsid w:val="0002603A"/>
    <w:rsid w:val="0003117D"/>
    <w:rsid w:val="00031C2C"/>
    <w:rsid w:val="0003627E"/>
    <w:rsid w:val="00036CD4"/>
    <w:rsid w:val="0003704B"/>
    <w:rsid w:val="0004044F"/>
    <w:rsid w:val="000408DF"/>
    <w:rsid w:val="00042AE2"/>
    <w:rsid w:val="000453A5"/>
    <w:rsid w:val="00045799"/>
    <w:rsid w:val="000475D2"/>
    <w:rsid w:val="0005162B"/>
    <w:rsid w:val="00053370"/>
    <w:rsid w:val="00054BC2"/>
    <w:rsid w:val="000554ED"/>
    <w:rsid w:val="000568A4"/>
    <w:rsid w:val="00057895"/>
    <w:rsid w:val="00061E1D"/>
    <w:rsid w:val="00067D71"/>
    <w:rsid w:val="000707CF"/>
    <w:rsid w:val="000729A5"/>
    <w:rsid w:val="0007400F"/>
    <w:rsid w:val="0007724F"/>
    <w:rsid w:val="000810B8"/>
    <w:rsid w:val="000834BE"/>
    <w:rsid w:val="000838C7"/>
    <w:rsid w:val="00083E6E"/>
    <w:rsid w:val="00084547"/>
    <w:rsid w:val="00085D6F"/>
    <w:rsid w:val="000909FE"/>
    <w:rsid w:val="0009376E"/>
    <w:rsid w:val="00093A3B"/>
    <w:rsid w:val="00097056"/>
    <w:rsid w:val="000A00AA"/>
    <w:rsid w:val="000A0307"/>
    <w:rsid w:val="000A153E"/>
    <w:rsid w:val="000A4AD9"/>
    <w:rsid w:val="000A4B43"/>
    <w:rsid w:val="000A4BCF"/>
    <w:rsid w:val="000A6439"/>
    <w:rsid w:val="000B0A1C"/>
    <w:rsid w:val="000B2D5A"/>
    <w:rsid w:val="000B4724"/>
    <w:rsid w:val="000C1BF8"/>
    <w:rsid w:val="000C5691"/>
    <w:rsid w:val="000D10F3"/>
    <w:rsid w:val="000D18AC"/>
    <w:rsid w:val="000D1F26"/>
    <w:rsid w:val="000D708C"/>
    <w:rsid w:val="000E3134"/>
    <w:rsid w:val="000E34C1"/>
    <w:rsid w:val="000E5427"/>
    <w:rsid w:val="000E5F00"/>
    <w:rsid w:val="000F094E"/>
    <w:rsid w:val="000F349C"/>
    <w:rsid w:val="000F3555"/>
    <w:rsid w:val="000F4526"/>
    <w:rsid w:val="000F4BCA"/>
    <w:rsid w:val="000F6CF8"/>
    <w:rsid w:val="00103934"/>
    <w:rsid w:val="00103B90"/>
    <w:rsid w:val="00104866"/>
    <w:rsid w:val="001066A1"/>
    <w:rsid w:val="00111F71"/>
    <w:rsid w:val="001141DE"/>
    <w:rsid w:val="0012012A"/>
    <w:rsid w:val="00120EBF"/>
    <w:rsid w:val="00122155"/>
    <w:rsid w:val="00124356"/>
    <w:rsid w:val="00124420"/>
    <w:rsid w:val="00124E67"/>
    <w:rsid w:val="00125F76"/>
    <w:rsid w:val="00126B9C"/>
    <w:rsid w:val="0013020B"/>
    <w:rsid w:val="00135D1A"/>
    <w:rsid w:val="00141847"/>
    <w:rsid w:val="0014297D"/>
    <w:rsid w:val="00142FCC"/>
    <w:rsid w:val="00144367"/>
    <w:rsid w:val="001449A0"/>
    <w:rsid w:val="001455D2"/>
    <w:rsid w:val="00145ABA"/>
    <w:rsid w:val="00146B87"/>
    <w:rsid w:val="0015665B"/>
    <w:rsid w:val="00157011"/>
    <w:rsid w:val="001576D1"/>
    <w:rsid w:val="00157C03"/>
    <w:rsid w:val="00160BB5"/>
    <w:rsid w:val="0017030C"/>
    <w:rsid w:val="001739CE"/>
    <w:rsid w:val="001741B5"/>
    <w:rsid w:val="00176DD5"/>
    <w:rsid w:val="00177057"/>
    <w:rsid w:val="0018061B"/>
    <w:rsid w:val="00180A7E"/>
    <w:rsid w:val="00180DDE"/>
    <w:rsid w:val="00181C33"/>
    <w:rsid w:val="001824F5"/>
    <w:rsid w:val="00182FDE"/>
    <w:rsid w:val="00183838"/>
    <w:rsid w:val="00183916"/>
    <w:rsid w:val="00190C17"/>
    <w:rsid w:val="00191282"/>
    <w:rsid w:val="00191E80"/>
    <w:rsid w:val="00193160"/>
    <w:rsid w:val="0019445F"/>
    <w:rsid w:val="00194CDA"/>
    <w:rsid w:val="00195717"/>
    <w:rsid w:val="001A019F"/>
    <w:rsid w:val="001A03DA"/>
    <w:rsid w:val="001A1062"/>
    <w:rsid w:val="001A1A73"/>
    <w:rsid w:val="001A2311"/>
    <w:rsid w:val="001A438B"/>
    <w:rsid w:val="001A5588"/>
    <w:rsid w:val="001A659B"/>
    <w:rsid w:val="001B1159"/>
    <w:rsid w:val="001B15F1"/>
    <w:rsid w:val="001B679E"/>
    <w:rsid w:val="001B7F0E"/>
    <w:rsid w:val="001C0395"/>
    <w:rsid w:val="001C4625"/>
    <w:rsid w:val="001C6950"/>
    <w:rsid w:val="001C7DF7"/>
    <w:rsid w:val="001C7F8A"/>
    <w:rsid w:val="001D0A57"/>
    <w:rsid w:val="001D0F27"/>
    <w:rsid w:val="001D11AE"/>
    <w:rsid w:val="001D3DBD"/>
    <w:rsid w:val="001D4964"/>
    <w:rsid w:val="001D4D42"/>
    <w:rsid w:val="001D4F6C"/>
    <w:rsid w:val="001D651A"/>
    <w:rsid w:val="001D65E6"/>
    <w:rsid w:val="001D6BBD"/>
    <w:rsid w:val="001D708B"/>
    <w:rsid w:val="001D7598"/>
    <w:rsid w:val="001E039A"/>
    <w:rsid w:val="001E1301"/>
    <w:rsid w:val="001E2C68"/>
    <w:rsid w:val="001E580F"/>
    <w:rsid w:val="001E7D9F"/>
    <w:rsid w:val="001F134B"/>
    <w:rsid w:val="001F37D5"/>
    <w:rsid w:val="001F4B73"/>
    <w:rsid w:val="001F4E7C"/>
    <w:rsid w:val="001F62C6"/>
    <w:rsid w:val="001F6EC1"/>
    <w:rsid w:val="00201D2A"/>
    <w:rsid w:val="00202FB1"/>
    <w:rsid w:val="00205C94"/>
    <w:rsid w:val="0020719A"/>
    <w:rsid w:val="00210558"/>
    <w:rsid w:val="00210672"/>
    <w:rsid w:val="00212CD1"/>
    <w:rsid w:val="00214C32"/>
    <w:rsid w:val="002150E2"/>
    <w:rsid w:val="00216940"/>
    <w:rsid w:val="00216A66"/>
    <w:rsid w:val="00217663"/>
    <w:rsid w:val="00221896"/>
    <w:rsid w:val="00221FCC"/>
    <w:rsid w:val="00225FA6"/>
    <w:rsid w:val="0022641B"/>
    <w:rsid w:val="00231FEB"/>
    <w:rsid w:val="0023404A"/>
    <w:rsid w:val="00234579"/>
    <w:rsid w:val="00235609"/>
    <w:rsid w:val="0023637B"/>
    <w:rsid w:val="00237B85"/>
    <w:rsid w:val="002438F7"/>
    <w:rsid w:val="00243F5D"/>
    <w:rsid w:val="00244421"/>
    <w:rsid w:val="00245620"/>
    <w:rsid w:val="002475B6"/>
    <w:rsid w:val="002509ED"/>
    <w:rsid w:val="00252318"/>
    <w:rsid w:val="00252746"/>
    <w:rsid w:val="00254380"/>
    <w:rsid w:val="0025774A"/>
    <w:rsid w:val="002613AA"/>
    <w:rsid w:val="00262CD1"/>
    <w:rsid w:val="002652DD"/>
    <w:rsid w:val="00265DBA"/>
    <w:rsid w:val="00266ADE"/>
    <w:rsid w:val="002711D2"/>
    <w:rsid w:val="002719D3"/>
    <w:rsid w:val="00271A06"/>
    <w:rsid w:val="002733A3"/>
    <w:rsid w:val="002750DD"/>
    <w:rsid w:val="00276A88"/>
    <w:rsid w:val="00282F32"/>
    <w:rsid w:val="002843CA"/>
    <w:rsid w:val="0028647B"/>
    <w:rsid w:val="00290572"/>
    <w:rsid w:val="00290F78"/>
    <w:rsid w:val="002952B8"/>
    <w:rsid w:val="002955FD"/>
    <w:rsid w:val="00296051"/>
    <w:rsid w:val="00297E13"/>
    <w:rsid w:val="002A0093"/>
    <w:rsid w:val="002A1034"/>
    <w:rsid w:val="002A2623"/>
    <w:rsid w:val="002A405B"/>
    <w:rsid w:val="002A6E25"/>
    <w:rsid w:val="002A7430"/>
    <w:rsid w:val="002A7E4F"/>
    <w:rsid w:val="002B0FC2"/>
    <w:rsid w:val="002B3707"/>
    <w:rsid w:val="002B448B"/>
    <w:rsid w:val="002B5B30"/>
    <w:rsid w:val="002C0970"/>
    <w:rsid w:val="002C272D"/>
    <w:rsid w:val="002C5611"/>
    <w:rsid w:val="002D03D3"/>
    <w:rsid w:val="002D5F6A"/>
    <w:rsid w:val="002D7163"/>
    <w:rsid w:val="002E1B3D"/>
    <w:rsid w:val="002E3351"/>
    <w:rsid w:val="002E3B7B"/>
    <w:rsid w:val="002E4855"/>
    <w:rsid w:val="002E5FD8"/>
    <w:rsid w:val="002E740D"/>
    <w:rsid w:val="002E7FA6"/>
    <w:rsid w:val="002F4F13"/>
    <w:rsid w:val="002F5AE8"/>
    <w:rsid w:val="00300B16"/>
    <w:rsid w:val="003018EC"/>
    <w:rsid w:val="00301C54"/>
    <w:rsid w:val="00302842"/>
    <w:rsid w:val="00302DE8"/>
    <w:rsid w:val="00303437"/>
    <w:rsid w:val="00306E5F"/>
    <w:rsid w:val="00310594"/>
    <w:rsid w:val="003124C2"/>
    <w:rsid w:val="00312F2E"/>
    <w:rsid w:val="00312FDB"/>
    <w:rsid w:val="003139F1"/>
    <w:rsid w:val="0031518A"/>
    <w:rsid w:val="00316F35"/>
    <w:rsid w:val="00317038"/>
    <w:rsid w:val="00320E6A"/>
    <w:rsid w:val="00321F35"/>
    <w:rsid w:val="00322832"/>
    <w:rsid w:val="00323D31"/>
    <w:rsid w:val="003250E7"/>
    <w:rsid w:val="003265CE"/>
    <w:rsid w:val="0032791E"/>
    <w:rsid w:val="00332257"/>
    <w:rsid w:val="00332A49"/>
    <w:rsid w:val="00335B78"/>
    <w:rsid w:val="00335C12"/>
    <w:rsid w:val="00340B4F"/>
    <w:rsid w:val="003410B8"/>
    <w:rsid w:val="003426D0"/>
    <w:rsid w:val="00346323"/>
    <w:rsid w:val="0034633F"/>
    <w:rsid w:val="00346963"/>
    <w:rsid w:val="00346DD8"/>
    <w:rsid w:val="00350689"/>
    <w:rsid w:val="00351E08"/>
    <w:rsid w:val="003521D4"/>
    <w:rsid w:val="003533AB"/>
    <w:rsid w:val="00353FCD"/>
    <w:rsid w:val="003559FA"/>
    <w:rsid w:val="0036078E"/>
    <w:rsid w:val="00361C71"/>
    <w:rsid w:val="0037187E"/>
    <w:rsid w:val="00372D36"/>
    <w:rsid w:val="0037537E"/>
    <w:rsid w:val="00381C78"/>
    <w:rsid w:val="00385503"/>
    <w:rsid w:val="0038731D"/>
    <w:rsid w:val="0039029E"/>
    <w:rsid w:val="003917E4"/>
    <w:rsid w:val="003933C6"/>
    <w:rsid w:val="00393EF5"/>
    <w:rsid w:val="00394492"/>
    <w:rsid w:val="003A3384"/>
    <w:rsid w:val="003A3691"/>
    <w:rsid w:val="003A5387"/>
    <w:rsid w:val="003B0CBB"/>
    <w:rsid w:val="003B2BFA"/>
    <w:rsid w:val="003B32CC"/>
    <w:rsid w:val="003B3D3B"/>
    <w:rsid w:val="003C0098"/>
    <w:rsid w:val="003C0C66"/>
    <w:rsid w:val="003C404F"/>
    <w:rsid w:val="003C54F6"/>
    <w:rsid w:val="003C5ED5"/>
    <w:rsid w:val="003D02AE"/>
    <w:rsid w:val="003D4913"/>
    <w:rsid w:val="003D4BDD"/>
    <w:rsid w:val="003D5DE2"/>
    <w:rsid w:val="003D6A60"/>
    <w:rsid w:val="003E0A79"/>
    <w:rsid w:val="003E1112"/>
    <w:rsid w:val="003E6DB1"/>
    <w:rsid w:val="003F28C9"/>
    <w:rsid w:val="003F5467"/>
    <w:rsid w:val="003F5DD8"/>
    <w:rsid w:val="00401D5D"/>
    <w:rsid w:val="00402CDA"/>
    <w:rsid w:val="004052D1"/>
    <w:rsid w:val="004055C7"/>
    <w:rsid w:val="00411B93"/>
    <w:rsid w:val="004133EF"/>
    <w:rsid w:val="00413798"/>
    <w:rsid w:val="00413AA9"/>
    <w:rsid w:val="00415693"/>
    <w:rsid w:val="004157FB"/>
    <w:rsid w:val="00415B3B"/>
    <w:rsid w:val="00417877"/>
    <w:rsid w:val="00420532"/>
    <w:rsid w:val="004209C4"/>
    <w:rsid w:val="00421D6F"/>
    <w:rsid w:val="00423EDE"/>
    <w:rsid w:val="004314AE"/>
    <w:rsid w:val="004334A9"/>
    <w:rsid w:val="004337B8"/>
    <w:rsid w:val="00433EB7"/>
    <w:rsid w:val="004355AF"/>
    <w:rsid w:val="00435ADB"/>
    <w:rsid w:val="004404A8"/>
    <w:rsid w:val="00441516"/>
    <w:rsid w:val="00441E46"/>
    <w:rsid w:val="00444101"/>
    <w:rsid w:val="004520D5"/>
    <w:rsid w:val="004522EB"/>
    <w:rsid w:val="004524E5"/>
    <w:rsid w:val="004533A5"/>
    <w:rsid w:val="004536A3"/>
    <w:rsid w:val="00454D81"/>
    <w:rsid w:val="0045704F"/>
    <w:rsid w:val="0046088D"/>
    <w:rsid w:val="00460E6A"/>
    <w:rsid w:val="00461C64"/>
    <w:rsid w:val="00464A84"/>
    <w:rsid w:val="0046709A"/>
    <w:rsid w:val="004704FF"/>
    <w:rsid w:val="0047088D"/>
    <w:rsid w:val="00470E9A"/>
    <w:rsid w:val="00471234"/>
    <w:rsid w:val="00474194"/>
    <w:rsid w:val="0047497E"/>
    <w:rsid w:val="00475911"/>
    <w:rsid w:val="0047752A"/>
    <w:rsid w:val="00482E3D"/>
    <w:rsid w:val="00486659"/>
    <w:rsid w:val="00487B23"/>
    <w:rsid w:val="0049275A"/>
    <w:rsid w:val="0049298C"/>
    <w:rsid w:val="0049389F"/>
    <w:rsid w:val="00497670"/>
    <w:rsid w:val="004A1CA4"/>
    <w:rsid w:val="004A2E80"/>
    <w:rsid w:val="004A3AED"/>
    <w:rsid w:val="004A5667"/>
    <w:rsid w:val="004A5B70"/>
    <w:rsid w:val="004A6981"/>
    <w:rsid w:val="004A6F51"/>
    <w:rsid w:val="004A760C"/>
    <w:rsid w:val="004A7E0D"/>
    <w:rsid w:val="004B1E15"/>
    <w:rsid w:val="004B569C"/>
    <w:rsid w:val="004B5B16"/>
    <w:rsid w:val="004B6151"/>
    <w:rsid w:val="004B66C4"/>
    <w:rsid w:val="004B6C50"/>
    <w:rsid w:val="004C11E2"/>
    <w:rsid w:val="004C2383"/>
    <w:rsid w:val="004C2563"/>
    <w:rsid w:val="004C26DA"/>
    <w:rsid w:val="004C3CF2"/>
    <w:rsid w:val="004C5A9E"/>
    <w:rsid w:val="004C74B7"/>
    <w:rsid w:val="004C77FC"/>
    <w:rsid w:val="004D0E4F"/>
    <w:rsid w:val="004E3F3A"/>
    <w:rsid w:val="004E524C"/>
    <w:rsid w:val="004E71AB"/>
    <w:rsid w:val="004F0CCD"/>
    <w:rsid w:val="004F34E0"/>
    <w:rsid w:val="004F377C"/>
    <w:rsid w:val="004F61F6"/>
    <w:rsid w:val="004F6246"/>
    <w:rsid w:val="004F6BFF"/>
    <w:rsid w:val="004F7A20"/>
    <w:rsid w:val="004F7A38"/>
    <w:rsid w:val="0050149E"/>
    <w:rsid w:val="00502E5D"/>
    <w:rsid w:val="0050770B"/>
    <w:rsid w:val="00511B86"/>
    <w:rsid w:val="005120C7"/>
    <w:rsid w:val="00514C4E"/>
    <w:rsid w:val="0051629D"/>
    <w:rsid w:val="005169BC"/>
    <w:rsid w:val="00522EE3"/>
    <w:rsid w:val="00524227"/>
    <w:rsid w:val="0052440E"/>
    <w:rsid w:val="0052597E"/>
    <w:rsid w:val="005263E5"/>
    <w:rsid w:val="00530469"/>
    <w:rsid w:val="00530F1E"/>
    <w:rsid w:val="00531D43"/>
    <w:rsid w:val="005327ED"/>
    <w:rsid w:val="00532CC2"/>
    <w:rsid w:val="0053734F"/>
    <w:rsid w:val="005373A7"/>
    <w:rsid w:val="00541DB3"/>
    <w:rsid w:val="00542403"/>
    <w:rsid w:val="005428C0"/>
    <w:rsid w:val="005444E1"/>
    <w:rsid w:val="00544F14"/>
    <w:rsid w:val="005468D2"/>
    <w:rsid w:val="005515C8"/>
    <w:rsid w:val="00555400"/>
    <w:rsid w:val="00555A50"/>
    <w:rsid w:val="00557496"/>
    <w:rsid w:val="00560D1F"/>
    <w:rsid w:val="00563FAD"/>
    <w:rsid w:val="005642C2"/>
    <w:rsid w:val="00565A8A"/>
    <w:rsid w:val="00565F66"/>
    <w:rsid w:val="00566A9E"/>
    <w:rsid w:val="00567F54"/>
    <w:rsid w:val="0057211D"/>
    <w:rsid w:val="005733EE"/>
    <w:rsid w:val="005758F3"/>
    <w:rsid w:val="00575D0C"/>
    <w:rsid w:val="005819FF"/>
    <w:rsid w:val="00586961"/>
    <w:rsid w:val="00587DA4"/>
    <w:rsid w:val="00591ABA"/>
    <w:rsid w:val="00593808"/>
    <w:rsid w:val="00594CD7"/>
    <w:rsid w:val="00596D0E"/>
    <w:rsid w:val="00596F37"/>
    <w:rsid w:val="005979DC"/>
    <w:rsid w:val="00597D4D"/>
    <w:rsid w:val="005A1087"/>
    <w:rsid w:val="005A143F"/>
    <w:rsid w:val="005A1D00"/>
    <w:rsid w:val="005A3BB8"/>
    <w:rsid w:val="005A550D"/>
    <w:rsid w:val="005A611E"/>
    <w:rsid w:val="005B0C5A"/>
    <w:rsid w:val="005B2EFC"/>
    <w:rsid w:val="005B42C6"/>
    <w:rsid w:val="005B5AC6"/>
    <w:rsid w:val="005B6373"/>
    <w:rsid w:val="005B69A0"/>
    <w:rsid w:val="005C0756"/>
    <w:rsid w:val="005C0F33"/>
    <w:rsid w:val="005C1AE0"/>
    <w:rsid w:val="005C2152"/>
    <w:rsid w:val="005D0DE0"/>
    <w:rsid w:val="005D101D"/>
    <w:rsid w:val="005D49E3"/>
    <w:rsid w:val="005D691C"/>
    <w:rsid w:val="005E3EDF"/>
    <w:rsid w:val="005E4996"/>
    <w:rsid w:val="005E4A46"/>
    <w:rsid w:val="005E4BE0"/>
    <w:rsid w:val="005E79F1"/>
    <w:rsid w:val="005F0521"/>
    <w:rsid w:val="005F3234"/>
    <w:rsid w:val="005F38DC"/>
    <w:rsid w:val="00601798"/>
    <w:rsid w:val="0060317A"/>
    <w:rsid w:val="00604CAC"/>
    <w:rsid w:val="00606DB4"/>
    <w:rsid w:val="00613EEE"/>
    <w:rsid w:val="0061437B"/>
    <w:rsid w:val="00615BD6"/>
    <w:rsid w:val="00616093"/>
    <w:rsid w:val="00616536"/>
    <w:rsid w:val="00616904"/>
    <w:rsid w:val="00623826"/>
    <w:rsid w:val="0062664B"/>
    <w:rsid w:val="00630168"/>
    <w:rsid w:val="00633E01"/>
    <w:rsid w:val="00634342"/>
    <w:rsid w:val="00635658"/>
    <w:rsid w:val="006400DC"/>
    <w:rsid w:val="0064069F"/>
    <w:rsid w:val="0064165F"/>
    <w:rsid w:val="0064203B"/>
    <w:rsid w:val="006429E9"/>
    <w:rsid w:val="0064512B"/>
    <w:rsid w:val="00645468"/>
    <w:rsid w:val="00645AF3"/>
    <w:rsid w:val="006460CD"/>
    <w:rsid w:val="0064681C"/>
    <w:rsid w:val="00650A5A"/>
    <w:rsid w:val="006516E8"/>
    <w:rsid w:val="00651EF3"/>
    <w:rsid w:val="00657CD0"/>
    <w:rsid w:val="00662E0C"/>
    <w:rsid w:val="0066522A"/>
    <w:rsid w:val="00667B71"/>
    <w:rsid w:val="00670344"/>
    <w:rsid w:val="00672F82"/>
    <w:rsid w:val="00673FAD"/>
    <w:rsid w:val="006757C9"/>
    <w:rsid w:val="00675C2B"/>
    <w:rsid w:val="00676565"/>
    <w:rsid w:val="006775F7"/>
    <w:rsid w:val="006802A9"/>
    <w:rsid w:val="00681FF5"/>
    <w:rsid w:val="00683138"/>
    <w:rsid w:val="0068443F"/>
    <w:rsid w:val="006849AA"/>
    <w:rsid w:val="0068770A"/>
    <w:rsid w:val="00690027"/>
    <w:rsid w:val="006918E3"/>
    <w:rsid w:val="00694770"/>
    <w:rsid w:val="00697DB9"/>
    <w:rsid w:val="006A52FC"/>
    <w:rsid w:val="006A5924"/>
    <w:rsid w:val="006A6AAF"/>
    <w:rsid w:val="006A6D90"/>
    <w:rsid w:val="006A716A"/>
    <w:rsid w:val="006B0EBF"/>
    <w:rsid w:val="006B1647"/>
    <w:rsid w:val="006B1AC0"/>
    <w:rsid w:val="006B1D48"/>
    <w:rsid w:val="006B1FA3"/>
    <w:rsid w:val="006B5595"/>
    <w:rsid w:val="006B57D6"/>
    <w:rsid w:val="006B5F1F"/>
    <w:rsid w:val="006C09CF"/>
    <w:rsid w:val="006C0AFF"/>
    <w:rsid w:val="006C2938"/>
    <w:rsid w:val="006C3569"/>
    <w:rsid w:val="006C3619"/>
    <w:rsid w:val="006C47A5"/>
    <w:rsid w:val="006C4AA0"/>
    <w:rsid w:val="006C4DB8"/>
    <w:rsid w:val="006C510B"/>
    <w:rsid w:val="006C6A63"/>
    <w:rsid w:val="006C77BA"/>
    <w:rsid w:val="006D0F81"/>
    <w:rsid w:val="006D2571"/>
    <w:rsid w:val="006D321E"/>
    <w:rsid w:val="006D6395"/>
    <w:rsid w:val="006E2A5F"/>
    <w:rsid w:val="006E2EC2"/>
    <w:rsid w:val="006E3602"/>
    <w:rsid w:val="006E50AC"/>
    <w:rsid w:val="006F64BC"/>
    <w:rsid w:val="006F6D85"/>
    <w:rsid w:val="0070072B"/>
    <w:rsid w:val="00702495"/>
    <w:rsid w:val="00704923"/>
    <w:rsid w:val="0070541D"/>
    <w:rsid w:val="007067D0"/>
    <w:rsid w:val="00707CCD"/>
    <w:rsid w:val="00713A21"/>
    <w:rsid w:val="00714D95"/>
    <w:rsid w:val="007238C5"/>
    <w:rsid w:val="00723CCF"/>
    <w:rsid w:val="007243BD"/>
    <w:rsid w:val="00727F8F"/>
    <w:rsid w:val="0073141A"/>
    <w:rsid w:val="00731A18"/>
    <w:rsid w:val="007355D9"/>
    <w:rsid w:val="00736B98"/>
    <w:rsid w:val="00740189"/>
    <w:rsid w:val="00741293"/>
    <w:rsid w:val="00742485"/>
    <w:rsid w:val="00745BA7"/>
    <w:rsid w:val="00751E69"/>
    <w:rsid w:val="00757A30"/>
    <w:rsid w:val="00761871"/>
    <w:rsid w:val="00764FFD"/>
    <w:rsid w:val="00765D3E"/>
    <w:rsid w:val="00766011"/>
    <w:rsid w:val="0077022C"/>
    <w:rsid w:val="0077039F"/>
    <w:rsid w:val="00770788"/>
    <w:rsid w:val="00770C06"/>
    <w:rsid w:val="0077106C"/>
    <w:rsid w:val="007718C8"/>
    <w:rsid w:val="00772B14"/>
    <w:rsid w:val="00773778"/>
    <w:rsid w:val="00774920"/>
    <w:rsid w:val="00775F66"/>
    <w:rsid w:val="00776B41"/>
    <w:rsid w:val="007808E2"/>
    <w:rsid w:val="00782645"/>
    <w:rsid w:val="00783A97"/>
    <w:rsid w:val="007870FD"/>
    <w:rsid w:val="00790504"/>
    <w:rsid w:val="00790601"/>
    <w:rsid w:val="00792714"/>
    <w:rsid w:val="00793727"/>
    <w:rsid w:val="00796844"/>
    <w:rsid w:val="007969F2"/>
    <w:rsid w:val="007A1630"/>
    <w:rsid w:val="007A63A4"/>
    <w:rsid w:val="007B2692"/>
    <w:rsid w:val="007B26D8"/>
    <w:rsid w:val="007B76CA"/>
    <w:rsid w:val="007C15C3"/>
    <w:rsid w:val="007C1959"/>
    <w:rsid w:val="007C19AE"/>
    <w:rsid w:val="007C45B9"/>
    <w:rsid w:val="007D0157"/>
    <w:rsid w:val="007D0892"/>
    <w:rsid w:val="007D0D76"/>
    <w:rsid w:val="007D1E93"/>
    <w:rsid w:val="007D3009"/>
    <w:rsid w:val="007D3AC8"/>
    <w:rsid w:val="007D639C"/>
    <w:rsid w:val="007E16FB"/>
    <w:rsid w:val="007E219F"/>
    <w:rsid w:val="007E42ED"/>
    <w:rsid w:val="007E4E6C"/>
    <w:rsid w:val="007E522B"/>
    <w:rsid w:val="007E7732"/>
    <w:rsid w:val="007E7929"/>
    <w:rsid w:val="007E7E0C"/>
    <w:rsid w:val="007F0670"/>
    <w:rsid w:val="007F59AE"/>
    <w:rsid w:val="00802501"/>
    <w:rsid w:val="00802C83"/>
    <w:rsid w:val="0080438D"/>
    <w:rsid w:val="00804D5B"/>
    <w:rsid w:val="00805945"/>
    <w:rsid w:val="008076AD"/>
    <w:rsid w:val="00807A07"/>
    <w:rsid w:val="00811BBF"/>
    <w:rsid w:val="00812039"/>
    <w:rsid w:val="00812BC1"/>
    <w:rsid w:val="00815B0F"/>
    <w:rsid w:val="008163E3"/>
    <w:rsid w:val="008174FE"/>
    <w:rsid w:val="0082114E"/>
    <w:rsid w:val="00822E0E"/>
    <w:rsid w:val="00824EC6"/>
    <w:rsid w:val="00825E55"/>
    <w:rsid w:val="0082617E"/>
    <w:rsid w:val="00826759"/>
    <w:rsid w:val="00827735"/>
    <w:rsid w:val="00831D89"/>
    <w:rsid w:val="0083373F"/>
    <w:rsid w:val="008338F9"/>
    <w:rsid w:val="00834535"/>
    <w:rsid w:val="00834920"/>
    <w:rsid w:val="00835FF0"/>
    <w:rsid w:val="00837357"/>
    <w:rsid w:val="00843705"/>
    <w:rsid w:val="008439A3"/>
    <w:rsid w:val="00846A73"/>
    <w:rsid w:val="00847355"/>
    <w:rsid w:val="008474CA"/>
    <w:rsid w:val="00847C7D"/>
    <w:rsid w:val="00850356"/>
    <w:rsid w:val="00850999"/>
    <w:rsid w:val="008535E4"/>
    <w:rsid w:val="008548C1"/>
    <w:rsid w:val="00855533"/>
    <w:rsid w:val="008557C4"/>
    <w:rsid w:val="008614F0"/>
    <w:rsid w:val="00862D7E"/>
    <w:rsid w:val="00863029"/>
    <w:rsid w:val="00864EA6"/>
    <w:rsid w:val="0086615F"/>
    <w:rsid w:val="00866268"/>
    <w:rsid w:val="008675A7"/>
    <w:rsid w:val="0086769A"/>
    <w:rsid w:val="00870B1F"/>
    <w:rsid w:val="00870E90"/>
    <w:rsid w:val="00871463"/>
    <w:rsid w:val="00871788"/>
    <w:rsid w:val="00877173"/>
    <w:rsid w:val="00880529"/>
    <w:rsid w:val="00883303"/>
    <w:rsid w:val="00885FFD"/>
    <w:rsid w:val="00887307"/>
    <w:rsid w:val="008874C0"/>
    <w:rsid w:val="00887E52"/>
    <w:rsid w:val="008922E3"/>
    <w:rsid w:val="0089304C"/>
    <w:rsid w:val="00893374"/>
    <w:rsid w:val="008953E3"/>
    <w:rsid w:val="008A202A"/>
    <w:rsid w:val="008A272D"/>
    <w:rsid w:val="008A57AF"/>
    <w:rsid w:val="008B3B52"/>
    <w:rsid w:val="008B40D1"/>
    <w:rsid w:val="008B4338"/>
    <w:rsid w:val="008B610E"/>
    <w:rsid w:val="008D046D"/>
    <w:rsid w:val="008D0E97"/>
    <w:rsid w:val="008D1225"/>
    <w:rsid w:val="008D59B0"/>
    <w:rsid w:val="008D5AAB"/>
    <w:rsid w:val="008D5D14"/>
    <w:rsid w:val="008D74ED"/>
    <w:rsid w:val="008E30B0"/>
    <w:rsid w:val="008E4492"/>
    <w:rsid w:val="008E4BF3"/>
    <w:rsid w:val="008E575A"/>
    <w:rsid w:val="008E7118"/>
    <w:rsid w:val="008E7DAB"/>
    <w:rsid w:val="008F1099"/>
    <w:rsid w:val="008F2236"/>
    <w:rsid w:val="008F7AA6"/>
    <w:rsid w:val="009020B2"/>
    <w:rsid w:val="00902F20"/>
    <w:rsid w:val="0090617D"/>
    <w:rsid w:val="00913034"/>
    <w:rsid w:val="009200DE"/>
    <w:rsid w:val="00930164"/>
    <w:rsid w:val="00934902"/>
    <w:rsid w:val="0094174D"/>
    <w:rsid w:val="00942044"/>
    <w:rsid w:val="0094272A"/>
    <w:rsid w:val="00944342"/>
    <w:rsid w:val="009512DD"/>
    <w:rsid w:val="00951364"/>
    <w:rsid w:val="00951F19"/>
    <w:rsid w:val="00952CC6"/>
    <w:rsid w:val="0095379B"/>
    <w:rsid w:val="0095510C"/>
    <w:rsid w:val="009552A6"/>
    <w:rsid w:val="00956680"/>
    <w:rsid w:val="00956CD3"/>
    <w:rsid w:val="00963442"/>
    <w:rsid w:val="00963922"/>
    <w:rsid w:val="009670E2"/>
    <w:rsid w:val="00971163"/>
    <w:rsid w:val="00971E5C"/>
    <w:rsid w:val="00972191"/>
    <w:rsid w:val="0097523B"/>
    <w:rsid w:val="00976D1C"/>
    <w:rsid w:val="00976E0C"/>
    <w:rsid w:val="009809A4"/>
    <w:rsid w:val="0098140D"/>
    <w:rsid w:val="0098620C"/>
    <w:rsid w:val="009868A4"/>
    <w:rsid w:val="00986A8D"/>
    <w:rsid w:val="00986AD0"/>
    <w:rsid w:val="00990327"/>
    <w:rsid w:val="00992340"/>
    <w:rsid w:val="00995C77"/>
    <w:rsid w:val="0099664D"/>
    <w:rsid w:val="00997632"/>
    <w:rsid w:val="009A6258"/>
    <w:rsid w:val="009B1EEB"/>
    <w:rsid w:val="009B2011"/>
    <w:rsid w:val="009B3092"/>
    <w:rsid w:val="009B5AC8"/>
    <w:rsid w:val="009C43A3"/>
    <w:rsid w:val="009C49A2"/>
    <w:rsid w:val="009C4DBB"/>
    <w:rsid w:val="009C583D"/>
    <w:rsid w:val="009C7347"/>
    <w:rsid w:val="009C7C11"/>
    <w:rsid w:val="009C7CBB"/>
    <w:rsid w:val="009D13DC"/>
    <w:rsid w:val="009D2239"/>
    <w:rsid w:val="009D374D"/>
    <w:rsid w:val="009D38BA"/>
    <w:rsid w:val="009D4FA2"/>
    <w:rsid w:val="009D5A73"/>
    <w:rsid w:val="009D6885"/>
    <w:rsid w:val="009E1BDC"/>
    <w:rsid w:val="009E1E1E"/>
    <w:rsid w:val="009E29CC"/>
    <w:rsid w:val="009E5A94"/>
    <w:rsid w:val="009E6820"/>
    <w:rsid w:val="009F0259"/>
    <w:rsid w:val="009F055F"/>
    <w:rsid w:val="009F2E2C"/>
    <w:rsid w:val="009F50CC"/>
    <w:rsid w:val="009F7786"/>
    <w:rsid w:val="00A0241F"/>
    <w:rsid w:val="00A029B8"/>
    <w:rsid w:val="00A03D41"/>
    <w:rsid w:val="00A04216"/>
    <w:rsid w:val="00A045D2"/>
    <w:rsid w:val="00A0470E"/>
    <w:rsid w:val="00A06FC8"/>
    <w:rsid w:val="00A13DF2"/>
    <w:rsid w:val="00A14AB8"/>
    <w:rsid w:val="00A20AB4"/>
    <w:rsid w:val="00A21F7F"/>
    <w:rsid w:val="00A2411A"/>
    <w:rsid w:val="00A25014"/>
    <w:rsid w:val="00A27AC1"/>
    <w:rsid w:val="00A30921"/>
    <w:rsid w:val="00A3417F"/>
    <w:rsid w:val="00A34D87"/>
    <w:rsid w:val="00A35D3F"/>
    <w:rsid w:val="00A449F2"/>
    <w:rsid w:val="00A47A2B"/>
    <w:rsid w:val="00A47F23"/>
    <w:rsid w:val="00A531A4"/>
    <w:rsid w:val="00A54477"/>
    <w:rsid w:val="00A558FE"/>
    <w:rsid w:val="00A55F7B"/>
    <w:rsid w:val="00A63A25"/>
    <w:rsid w:val="00A64BE2"/>
    <w:rsid w:val="00A6740F"/>
    <w:rsid w:val="00A7475A"/>
    <w:rsid w:val="00A74ADB"/>
    <w:rsid w:val="00A77567"/>
    <w:rsid w:val="00A82B8D"/>
    <w:rsid w:val="00A83A2C"/>
    <w:rsid w:val="00A85461"/>
    <w:rsid w:val="00A8552A"/>
    <w:rsid w:val="00A86570"/>
    <w:rsid w:val="00A86900"/>
    <w:rsid w:val="00A91F5C"/>
    <w:rsid w:val="00A94049"/>
    <w:rsid w:val="00A95BF3"/>
    <w:rsid w:val="00A973DD"/>
    <w:rsid w:val="00A97E27"/>
    <w:rsid w:val="00AA0413"/>
    <w:rsid w:val="00AA1106"/>
    <w:rsid w:val="00AA4295"/>
    <w:rsid w:val="00AA49C0"/>
    <w:rsid w:val="00AA615E"/>
    <w:rsid w:val="00AA7C27"/>
    <w:rsid w:val="00AB0AFE"/>
    <w:rsid w:val="00AB0F0A"/>
    <w:rsid w:val="00AB49A1"/>
    <w:rsid w:val="00AB49F2"/>
    <w:rsid w:val="00AB5CD5"/>
    <w:rsid w:val="00AB5EDB"/>
    <w:rsid w:val="00AB6F3A"/>
    <w:rsid w:val="00AC00FD"/>
    <w:rsid w:val="00AC2D79"/>
    <w:rsid w:val="00AD0845"/>
    <w:rsid w:val="00AD5B89"/>
    <w:rsid w:val="00AD6D09"/>
    <w:rsid w:val="00AE05F7"/>
    <w:rsid w:val="00AE0731"/>
    <w:rsid w:val="00AE12B2"/>
    <w:rsid w:val="00AF06FC"/>
    <w:rsid w:val="00AF3536"/>
    <w:rsid w:val="00AF36F7"/>
    <w:rsid w:val="00AF3990"/>
    <w:rsid w:val="00AF7DCD"/>
    <w:rsid w:val="00B0069E"/>
    <w:rsid w:val="00B00931"/>
    <w:rsid w:val="00B026F4"/>
    <w:rsid w:val="00B033FC"/>
    <w:rsid w:val="00B0586A"/>
    <w:rsid w:val="00B07138"/>
    <w:rsid w:val="00B11C16"/>
    <w:rsid w:val="00B11F87"/>
    <w:rsid w:val="00B1277E"/>
    <w:rsid w:val="00B13950"/>
    <w:rsid w:val="00B13FA1"/>
    <w:rsid w:val="00B1496D"/>
    <w:rsid w:val="00B16965"/>
    <w:rsid w:val="00B2015D"/>
    <w:rsid w:val="00B20CAE"/>
    <w:rsid w:val="00B228A0"/>
    <w:rsid w:val="00B251AE"/>
    <w:rsid w:val="00B26205"/>
    <w:rsid w:val="00B278A0"/>
    <w:rsid w:val="00B30B1F"/>
    <w:rsid w:val="00B30B75"/>
    <w:rsid w:val="00B353E9"/>
    <w:rsid w:val="00B35EA2"/>
    <w:rsid w:val="00B41685"/>
    <w:rsid w:val="00B42C9F"/>
    <w:rsid w:val="00B43081"/>
    <w:rsid w:val="00B501F0"/>
    <w:rsid w:val="00B57803"/>
    <w:rsid w:val="00B60962"/>
    <w:rsid w:val="00B60E3E"/>
    <w:rsid w:val="00B61258"/>
    <w:rsid w:val="00B649D6"/>
    <w:rsid w:val="00B71A87"/>
    <w:rsid w:val="00B72178"/>
    <w:rsid w:val="00B72630"/>
    <w:rsid w:val="00B72D7C"/>
    <w:rsid w:val="00B77D1D"/>
    <w:rsid w:val="00B836E1"/>
    <w:rsid w:val="00B83993"/>
    <w:rsid w:val="00B90ABD"/>
    <w:rsid w:val="00B92677"/>
    <w:rsid w:val="00B93582"/>
    <w:rsid w:val="00B93D64"/>
    <w:rsid w:val="00B967C5"/>
    <w:rsid w:val="00BA2612"/>
    <w:rsid w:val="00BA31A2"/>
    <w:rsid w:val="00BA31C9"/>
    <w:rsid w:val="00BA52B1"/>
    <w:rsid w:val="00BA5C62"/>
    <w:rsid w:val="00BA6136"/>
    <w:rsid w:val="00BA6F39"/>
    <w:rsid w:val="00BA7325"/>
    <w:rsid w:val="00BB1ACF"/>
    <w:rsid w:val="00BB1DC1"/>
    <w:rsid w:val="00BB4678"/>
    <w:rsid w:val="00BB72FD"/>
    <w:rsid w:val="00BC1C5D"/>
    <w:rsid w:val="00BC1E5E"/>
    <w:rsid w:val="00BC3E9E"/>
    <w:rsid w:val="00BC4822"/>
    <w:rsid w:val="00BC4B78"/>
    <w:rsid w:val="00BC5BC1"/>
    <w:rsid w:val="00BC67E9"/>
    <w:rsid w:val="00BD1AEE"/>
    <w:rsid w:val="00BD253D"/>
    <w:rsid w:val="00BD3CA7"/>
    <w:rsid w:val="00BD40E2"/>
    <w:rsid w:val="00BD656A"/>
    <w:rsid w:val="00BD6CC2"/>
    <w:rsid w:val="00BD7E8D"/>
    <w:rsid w:val="00BE0CDA"/>
    <w:rsid w:val="00BE2986"/>
    <w:rsid w:val="00BE528D"/>
    <w:rsid w:val="00BF25B7"/>
    <w:rsid w:val="00BF276E"/>
    <w:rsid w:val="00BF2C04"/>
    <w:rsid w:val="00BF6A4E"/>
    <w:rsid w:val="00BF6E6E"/>
    <w:rsid w:val="00BF7EFE"/>
    <w:rsid w:val="00C0121B"/>
    <w:rsid w:val="00C01D0D"/>
    <w:rsid w:val="00C023E5"/>
    <w:rsid w:val="00C03F76"/>
    <w:rsid w:val="00C04C66"/>
    <w:rsid w:val="00C1081A"/>
    <w:rsid w:val="00C12C46"/>
    <w:rsid w:val="00C14E4F"/>
    <w:rsid w:val="00C17419"/>
    <w:rsid w:val="00C2193F"/>
    <w:rsid w:val="00C21B81"/>
    <w:rsid w:val="00C23CC8"/>
    <w:rsid w:val="00C30FD1"/>
    <w:rsid w:val="00C31F19"/>
    <w:rsid w:val="00C32724"/>
    <w:rsid w:val="00C33981"/>
    <w:rsid w:val="00C354C1"/>
    <w:rsid w:val="00C36A2A"/>
    <w:rsid w:val="00C421BF"/>
    <w:rsid w:val="00C42B05"/>
    <w:rsid w:val="00C449B7"/>
    <w:rsid w:val="00C458C7"/>
    <w:rsid w:val="00C5281C"/>
    <w:rsid w:val="00C53F28"/>
    <w:rsid w:val="00C546DC"/>
    <w:rsid w:val="00C57911"/>
    <w:rsid w:val="00C74006"/>
    <w:rsid w:val="00C744B5"/>
    <w:rsid w:val="00C75628"/>
    <w:rsid w:val="00C75B8A"/>
    <w:rsid w:val="00C7657F"/>
    <w:rsid w:val="00C77E4B"/>
    <w:rsid w:val="00C809F4"/>
    <w:rsid w:val="00C80DC9"/>
    <w:rsid w:val="00C8140E"/>
    <w:rsid w:val="00C83385"/>
    <w:rsid w:val="00C85D55"/>
    <w:rsid w:val="00C871E5"/>
    <w:rsid w:val="00C878A5"/>
    <w:rsid w:val="00C90053"/>
    <w:rsid w:val="00C91EB6"/>
    <w:rsid w:val="00C93553"/>
    <w:rsid w:val="00C94175"/>
    <w:rsid w:val="00C97E4F"/>
    <w:rsid w:val="00C97F6E"/>
    <w:rsid w:val="00CB14B0"/>
    <w:rsid w:val="00CB33AF"/>
    <w:rsid w:val="00CB34E2"/>
    <w:rsid w:val="00CB4881"/>
    <w:rsid w:val="00CC3D48"/>
    <w:rsid w:val="00CD0283"/>
    <w:rsid w:val="00CD5991"/>
    <w:rsid w:val="00CD6F74"/>
    <w:rsid w:val="00CD76E3"/>
    <w:rsid w:val="00CD7BC2"/>
    <w:rsid w:val="00CE0DA1"/>
    <w:rsid w:val="00CE2522"/>
    <w:rsid w:val="00CE5888"/>
    <w:rsid w:val="00CE6496"/>
    <w:rsid w:val="00CE737E"/>
    <w:rsid w:val="00CE75E4"/>
    <w:rsid w:val="00CF046D"/>
    <w:rsid w:val="00CF070A"/>
    <w:rsid w:val="00CF1642"/>
    <w:rsid w:val="00CF16BC"/>
    <w:rsid w:val="00CF5F4B"/>
    <w:rsid w:val="00CF724C"/>
    <w:rsid w:val="00CF7953"/>
    <w:rsid w:val="00D0090B"/>
    <w:rsid w:val="00D0281D"/>
    <w:rsid w:val="00D0330A"/>
    <w:rsid w:val="00D043BA"/>
    <w:rsid w:val="00D04DD8"/>
    <w:rsid w:val="00D06539"/>
    <w:rsid w:val="00D07346"/>
    <w:rsid w:val="00D07D01"/>
    <w:rsid w:val="00D10AA9"/>
    <w:rsid w:val="00D10CA7"/>
    <w:rsid w:val="00D11F3B"/>
    <w:rsid w:val="00D120AC"/>
    <w:rsid w:val="00D1223B"/>
    <w:rsid w:val="00D12D46"/>
    <w:rsid w:val="00D157A3"/>
    <w:rsid w:val="00D16792"/>
    <w:rsid w:val="00D20CE6"/>
    <w:rsid w:val="00D34163"/>
    <w:rsid w:val="00D34C93"/>
    <w:rsid w:val="00D35073"/>
    <w:rsid w:val="00D355DC"/>
    <w:rsid w:val="00D358D0"/>
    <w:rsid w:val="00D37AE4"/>
    <w:rsid w:val="00D42783"/>
    <w:rsid w:val="00D50287"/>
    <w:rsid w:val="00D50375"/>
    <w:rsid w:val="00D5405C"/>
    <w:rsid w:val="00D55742"/>
    <w:rsid w:val="00D55C44"/>
    <w:rsid w:val="00D60A1C"/>
    <w:rsid w:val="00D622BC"/>
    <w:rsid w:val="00D623F8"/>
    <w:rsid w:val="00D63B37"/>
    <w:rsid w:val="00D64239"/>
    <w:rsid w:val="00D65708"/>
    <w:rsid w:val="00D65803"/>
    <w:rsid w:val="00D7310A"/>
    <w:rsid w:val="00D7425E"/>
    <w:rsid w:val="00D742E2"/>
    <w:rsid w:val="00D76523"/>
    <w:rsid w:val="00D77B9A"/>
    <w:rsid w:val="00D81645"/>
    <w:rsid w:val="00D8363A"/>
    <w:rsid w:val="00D844A8"/>
    <w:rsid w:val="00D867D3"/>
    <w:rsid w:val="00D87346"/>
    <w:rsid w:val="00D94199"/>
    <w:rsid w:val="00D94B35"/>
    <w:rsid w:val="00D9569A"/>
    <w:rsid w:val="00DA3DE1"/>
    <w:rsid w:val="00DB12D8"/>
    <w:rsid w:val="00DB19CE"/>
    <w:rsid w:val="00DB3F51"/>
    <w:rsid w:val="00DC316D"/>
    <w:rsid w:val="00DD166E"/>
    <w:rsid w:val="00DD2FA8"/>
    <w:rsid w:val="00DD2FD8"/>
    <w:rsid w:val="00DD36DA"/>
    <w:rsid w:val="00DD3C3D"/>
    <w:rsid w:val="00DE0911"/>
    <w:rsid w:val="00DE3D86"/>
    <w:rsid w:val="00DE569F"/>
    <w:rsid w:val="00DF191E"/>
    <w:rsid w:val="00DF5940"/>
    <w:rsid w:val="00E04286"/>
    <w:rsid w:val="00E0644E"/>
    <w:rsid w:val="00E10D7D"/>
    <w:rsid w:val="00E1164B"/>
    <w:rsid w:val="00E11F79"/>
    <w:rsid w:val="00E140AF"/>
    <w:rsid w:val="00E20D8E"/>
    <w:rsid w:val="00E22CB8"/>
    <w:rsid w:val="00E23EBB"/>
    <w:rsid w:val="00E26040"/>
    <w:rsid w:val="00E2705A"/>
    <w:rsid w:val="00E27544"/>
    <w:rsid w:val="00E27E2E"/>
    <w:rsid w:val="00E3273F"/>
    <w:rsid w:val="00E32961"/>
    <w:rsid w:val="00E34F99"/>
    <w:rsid w:val="00E35B0F"/>
    <w:rsid w:val="00E37211"/>
    <w:rsid w:val="00E3722E"/>
    <w:rsid w:val="00E37515"/>
    <w:rsid w:val="00E414E7"/>
    <w:rsid w:val="00E459D8"/>
    <w:rsid w:val="00E46219"/>
    <w:rsid w:val="00E46986"/>
    <w:rsid w:val="00E52911"/>
    <w:rsid w:val="00E5413A"/>
    <w:rsid w:val="00E54C2B"/>
    <w:rsid w:val="00E55575"/>
    <w:rsid w:val="00E56EC8"/>
    <w:rsid w:val="00E56EF5"/>
    <w:rsid w:val="00E57D89"/>
    <w:rsid w:val="00E71DE5"/>
    <w:rsid w:val="00E73197"/>
    <w:rsid w:val="00E73E38"/>
    <w:rsid w:val="00E74D1F"/>
    <w:rsid w:val="00E80178"/>
    <w:rsid w:val="00E828A7"/>
    <w:rsid w:val="00E85024"/>
    <w:rsid w:val="00E91207"/>
    <w:rsid w:val="00E91B3B"/>
    <w:rsid w:val="00EA32FE"/>
    <w:rsid w:val="00EA3A7E"/>
    <w:rsid w:val="00EA6ACD"/>
    <w:rsid w:val="00EB31EC"/>
    <w:rsid w:val="00EB559F"/>
    <w:rsid w:val="00EC0E59"/>
    <w:rsid w:val="00EC1605"/>
    <w:rsid w:val="00EC2768"/>
    <w:rsid w:val="00EC3960"/>
    <w:rsid w:val="00EC50E3"/>
    <w:rsid w:val="00EC5702"/>
    <w:rsid w:val="00EC6CE5"/>
    <w:rsid w:val="00EC6E83"/>
    <w:rsid w:val="00EC7B7D"/>
    <w:rsid w:val="00ED0EED"/>
    <w:rsid w:val="00ED3CCF"/>
    <w:rsid w:val="00ED414A"/>
    <w:rsid w:val="00ED5545"/>
    <w:rsid w:val="00ED6374"/>
    <w:rsid w:val="00EE1BCB"/>
    <w:rsid w:val="00EE240D"/>
    <w:rsid w:val="00EE267E"/>
    <w:rsid w:val="00EE2FFA"/>
    <w:rsid w:val="00EF10E6"/>
    <w:rsid w:val="00EF327C"/>
    <w:rsid w:val="00EF45D4"/>
    <w:rsid w:val="00EF466A"/>
    <w:rsid w:val="00EF518D"/>
    <w:rsid w:val="00EF6A4F"/>
    <w:rsid w:val="00EF6AA3"/>
    <w:rsid w:val="00EF7975"/>
    <w:rsid w:val="00F0385F"/>
    <w:rsid w:val="00F06169"/>
    <w:rsid w:val="00F122E9"/>
    <w:rsid w:val="00F12901"/>
    <w:rsid w:val="00F12E37"/>
    <w:rsid w:val="00F12F80"/>
    <w:rsid w:val="00F1525F"/>
    <w:rsid w:val="00F173F6"/>
    <w:rsid w:val="00F17716"/>
    <w:rsid w:val="00F17B23"/>
    <w:rsid w:val="00F17E32"/>
    <w:rsid w:val="00F20017"/>
    <w:rsid w:val="00F21943"/>
    <w:rsid w:val="00F30E00"/>
    <w:rsid w:val="00F3275D"/>
    <w:rsid w:val="00F34A85"/>
    <w:rsid w:val="00F35521"/>
    <w:rsid w:val="00F472D3"/>
    <w:rsid w:val="00F47B78"/>
    <w:rsid w:val="00F52961"/>
    <w:rsid w:val="00F541F8"/>
    <w:rsid w:val="00F55C3C"/>
    <w:rsid w:val="00F567AC"/>
    <w:rsid w:val="00F61480"/>
    <w:rsid w:val="00F61E1B"/>
    <w:rsid w:val="00F734CA"/>
    <w:rsid w:val="00F75C2C"/>
    <w:rsid w:val="00F77E68"/>
    <w:rsid w:val="00F81C46"/>
    <w:rsid w:val="00F90228"/>
    <w:rsid w:val="00F93D84"/>
    <w:rsid w:val="00FA1C97"/>
    <w:rsid w:val="00FA3ADE"/>
    <w:rsid w:val="00FA45C2"/>
    <w:rsid w:val="00FA537F"/>
    <w:rsid w:val="00FA659A"/>
    <w:rsid w:val="00FA7669"/>
    <w:rsid w:val="00FB2031"/>
    <w:rsid w:val="00FB263E"/>
    <w:rsid w:val="00FB327C"/>
    <w:rsid w:val="00FB4FAE"/>
    <w:rsid w:val="00FB76EA"/>
    <w:rsid w:val="00FB7915"/>
    <w:rsid w:val="00FC12B7"/>
    <w:rsid w:val="00FC3C4A"/>
    <w:rsid w:val="00FC40BF"/>
    <w:rsid w:val="00FC4650"/>
    <w:rsid w:val="00FC498F"/>
    <w:rsid w:val="00FC4B92"/>
    <w:rsid w:val="00FC5559"/>
    <w:rsid w:val="00FD0337"/>
    <w:rsid w:val="00FD6AB9"/>
    <w:rsid w:val="00FD6BF7"/>
    <w:rsid w:val="00FE0FC4"/>
    <w:rsid w:val="00FE2D1E"/>
    <w:rsid w:val="00FE4C5E"/>
    <w:rsid w:val="00FE52EF"/>
    <w:rsid w:val="00FE5E82"/>
    <w:rsid w:val="00FE7DC5"/>
    <w:rsid w:val="00FF0130"/>
    <w:rsid w:val="00FF04B8"/>
    <w:rsid w:val="00FF07F9"/>
    <w:rsid w:val="00FF3CF6"/>
    <w:rsid w:val="00FF4F73"/>
    <w:rsid w:val="00FF581B"/>
    <w:rsid w:val="00FF7051"/>
    <w:rsid w:val="00FF7A44"/>
    <w:rsid w:val="04697A7F"/>
    <w:rsid w:val="27C2268C"/>
    <w:rsid w:val="355C77ED"/>
    <w:rsid w:val="35B07745"/>
    <w:rsid w:val="3E9C11A0"/>
    <w:rsid w:val="75FC60A1"/>
    <w:rsid w:val="766755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9CAFC8"/>
  <w15:docId w15:val="{1D14C7A1-5281-4CE3-83E8-04A72662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BJ" w:eastAsia="fr-BJ"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pPr>
      <w:keepNext/>
      <w:keepLines/>
      <w:numPr>
        <w:numId w:val="1"/>
      </w:numPr>
      <w:spacing w:before="240" w:after="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pPr>
      <w:keepNext/>
      <w:keepLines/>
      <w:numPr>
        <w:ilvl w:val="1"/>
        <w:numId w:val="1"/>
      </w:numPr>
      <w:spacing w:before="40" w:after="0"/>
      <w:outlineLvl w:val="1"/>
    </w:pPr>
    <w:rPr>
      <w:rFonts w:ascii="Arial" w:eastAsiaTheme="majorEastAsia" w:hAnsi="Arial" w:cstheme="majorBidi"/>
      <w:b/>
      <w:color w:val="000000" w:themeColor="text1"/>
      <w:sz w:val="32"/>
      <w:szCs w:val="26"/>
    </w:rPr>
  </w:style>
  <w:style w:type="paragraph" w:styleId="Titre3">
    <w:name w:val="heading 3"/>
    <w:basedOn w:val="Normal"/>
    <w:next w:val="Normal"/>
    <w:link w:val="Titre3Car"/>
    <w:uiPriority w:val="9"/>
    <w:unhideWhenUsed/>
    <w:qFormat/>
    <w:pPr>
      <w:keepNext/>
      <w:keepLines/>
      <w:numPr>
        <w:ilvl w:val="2"/>
        <w:numId w:val="1"/>
      </w:numPr>
      <w:spacing w:before="40" w:after="0"/>
      <w:outlineLvl w:val="2"/>
    </w:pPr>
    <w:rPr>
      <w:rFonts w:ascii="Arial" w:eastAsiaTheme="majorEastAsia" w:hAnsi="Arial" w:cstheme="majorBidi"/>
      <w:b/>
      <w:color w:val="000000" w:themeColor="text1"/>
      <w:sz w:val="28"/>
      <w:szCs w:val="24"/>
    </w:rPr>
  </w:style>
  <w:style w:type="paragraph" w:styleId="Titre4">
    <w:name w:val="heading 4"/>
    <w:basedOn w:val="Normal"/>
    <w:next w:val="Normal"/>
    <w:link w:val="Titre4Car"/>
    <w:uiPriority w:val="9"/>
    <w:unhideWhenUsed/>
    <w:qFormat/>
    <w:pPr>
      <w:keepNext/>
      <w:keepLines/>
      <w:numPr>
        <w:ilvl w:val="3"/>
        <w:numId w:val="1"/>
      </w:numPr>
      <w:spacing w:before="40" w:after="0"/>
      <w:outlineLvl w:val="3"/>
    </w:pPr>
    <w:rPr>
      <w:rFonts w:ascii="Maiandra GD" w:eastAsiaTheme="majorEastAsia" w:hAnsi="Maiandra GD" w:cstheme="majorBidi"/>
      <w:b/>
      <w:iCs/>
      <w:color w:val="000000" w:themeColor="text1"/>
      <w:sz w:val="28"/>
    </w:rPr>
  </w:style>
  <w:style w:type="paragraph" w:styleId="Titre5">
    <w:name w:val="heading 5"/>
    <w:basedOn w:val="Normal"/>
    <w:next w:val="Normal"/>
    <w:link w:val="Titre5C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Titre7">
    <w:name w:val="heading 7"/>
    <w:basedOn w:val="Normal"/>
    <w:next w:val="Normal"/>
    <w:link w:val="Titre7Car"/>
    <w:uiPriority w:val="9"/>
    <w:semiHidden/>
    <w:unhideWhenUsed/>
    <w:qFormat/>
    <w:pPr>
      <w:keepNext/>
      <w:keepLines/>
      <w:numPr>
        <w:ilvl w:val="6"/>
        <w:numId w:val="1"/>
      </w:numPr>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qFormat/>
    <w:rPr>
      <w:color w:val="0000FF"/>
      <w:u w:val="single"/>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character" w:styleId="Numrodepage">
    <w:name w:val="page number"/>
    <w:basedOn w:val="Policepardfaut"/>
    <w:uiPriority w:val="99"/>
    <w:semiHidden/>
    <w:unhideWhenUsed/>
    <w:qFormat/>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Corpsdetexte">
    <w:name w:val="Body Text"/>
    <w:basedOn w:val="Normal"/>
    <w:link w:val="CorpsdetexteCar"/>
    <w:uiPriority w:val="1"/>
    <w:qFormat/>
    <w:pPr>
      <w:widowControl w:val="0"/>
      <w:autoSpaceDE w:val="0"/>
      <w:autoSpaceDN w:val="0"/>
      <w:spacing w:after="0" w:line="240" w:lineRule="auto"/>
    </w:pPr>
    <w:rPr>
      <w:rFonts w:ascii="Arial" w:eastAsia="Arial" w:hAnsi="Arial" w:cs="Arial"/>
      <w:sz w:val="23"/>
      <w:szCs w:val="23"/>
      <w:lang w:val="en-U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TM4">
    <w:name w:val="toc 4"/>
    <w:basedOn w:val="Normal"/>
    <w:next w:val="Normal"/>
    <w:autoRedefine/>
    <w:uiPriority w:val="39"/>
    <w:unhideWhenUsed/>
    <w:qFormat/>
    <w:pPr>
      <w:spacing w:after="100"/>
      <w:ind w:left="660"/>
    </w:pPr>
  </w:style>
  <w:style w:type="paragraph" w:styleId="TM3">
    <w:name w:val="toc 3"/>
    <w:basedOn w:val="Normal"/>
    <w:next w:val="Normal"/>
    <w:autoRedefine/>
    <w:uiPriority w:val="39"/>
    <w:unhideWhenUsed/>
    <w:qFormat/>
    <w:pPr>
      <w:spacing w:after="100"/>
      <w:ind w:left="440"/>
    </w:pPr>
  </w:style>
  <w:style w:type="paragraph" w:styleId="NormalWeb">
    <w:name w:val="Normal (Web)"/>
    <w:uiPriority w:val="99"/>
    <w:unhideWhenUsed/>
    <w:pPr>
      <w:spacing w:beforeAutospacing="1" w:afterAutospacing="1"/>
    </w:pPr>
    <w:rPr>
      <w:rFonts w:cs="Times New Roman"/>
      <w:sz w:val="24"/>
      <w:szCs w:val="24"/>
      <w:lang w:val="en-US" w:eastAsia="zh-CN"/>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nhideWhenUsed/>
    <w:qFormat/>
    <w:pPr>
      <w:tabs>
        <w:tab w:val="center" w:pos="4536"/>
        <w:tab w:val="right" w:pos="9072"/>
      </w:tabs>
      <w:spacing w:after="0" w:line="240" w:lineRule="auto"/>
    </w:pPr>
    <w:rPr>
      <w:rFonts w:ascii="Calibri" w:eastAsia="Calibri" w:hAnsi="Calibri" w:cs="Times New Roman"/>
    </w:rPr>
  </w:style>
  <w:style w:type="paragraph" w:styleId="TM2">
    <w:name w:val="toc 2"/>
    <w:basedOn w:val="Normal"/>
    <w:next w:val="Normal"/>
    <w:autoRedefine/>
    <w:uiPriority w:val="39"/>
    <w:unhideWhenUsed/>
    <w:qFormat/>
    <w:pPr>
      <w:spacing w:after="100"/>
      <w:ind w:left="220"/>
    </w:pPr>
  </w:style>
  <w:style w:type="paragraph" w:styleId="TM1">
    <w:name w:val="toc 1"/>
    <w:basedOn w:val="Normal"/>
    <w:next w:val="Normal"/>
    <w:autoRedefine/>
    <w:uiPriority w:val="39"/>
    <w:unhideWhenUsed/>
    <w:qFormat/>
    <w:pPr>
      <w:spacing w:after="100"/>
    </w:pPr>
  </w:style>
  <w:style w:type="paragraph" w:styleId="Paragraphedeliste">
    <w:name w:val="List Paragraph"/>
    <w:basedOn w:val="Normal"/>
    <w:link w:val="ParagraphedelisteCar1"/>
    <w:qFormat/>
    <w:pPr>
      <w:ind w:left="720"/>
      <w:contextualSpacing/>
    </w:pPr>
  </w:style>
  <w:style w:type="character" w:customStyle="1" w:styleId="CorpsdetexteCar">
    <w:name w:val="Corps de texte Car"/>
    <w:basedOn w:val="Policepardfaut"/>
    <w:link w:val="Corpsdetexte"/>
    <w:uiPriority w:val="1"/>
    <w:qFormat/>
    <w:rPr>
      <w:rFonts w:ascii="Arial" w:eastAsia="Arial" w:hAnsi="Arial" w:cs="Arial"/>
      <w:sz w:val="23"/>
      <w:szCs w:val="23"/>
      <w:lang w:val="en-US"/>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qFormat/>
    <w:rPr>
      <w:rFonts w:ascii="Calibri" w:eastAsia="Calibri" w:hAnsi="Calibri" w:cs="Times New Roman"/>
    </w:rPr>
  </w:style>
  <w:style w:type="paragraph" w:customStyle="1" w:styleId="Style">
    <w:name w:val="Style"/>
    <w:qFormat/>
    <w:pPr>
      <w:widowControl w:val="0"/>
      <w:autoSpaceDE w:val="0"/>
      <w:autoSpaceDN w:val="0"/>
      <w:adjustRightInd w:val="0"/>
    </w:pPr>
    <w:rPr>
      <w:rFonts w:ascii="Arial" w:eastAsiaTheme="minorEastAsia" w:hAnsi="Arial"/>
      <w:sz w:val="24"/>
      <w:szCs w:val="24"/>
      <w:lang w:val="fr-FR" w:eastAsia="fr-FR"/>
    </w:rPr>
  </w:style>
  <w:style w:type="character" w:customStyle="1" w:styleId="PieddepageCar">
    <w:name w:val="Pied de page Car"/>
    <w:basedOn w:val="Policepardfaut"/>
    <w:link w:val="Pieddepage"/>
    <w:uiPriority w:val="99"/>
    <w:qFormat/>
  </w:style>
  <w:style w:type="character" w:customStyle="1" w:styleId="ParagraphedelisteCar1">
    <w:name w:val="Paragraphe de liste Car1"/>
    <w:link w:val="Paragraphedeliste"/>
    <w:uiPriority w:val="34"/>
    <w:qFormat/>
    <w:locked/>
  </w:style>
  <w:style w:type="character" w:customStyle="1" w:styleId="Titre1Car">
    <w:name w:val="Titre 1 Car"/>
    <w:basedOn w:val="Policepardfaut"/>
    <w:link w:val="Titre1"/>
    <w:uiPriority w:val="9"/>
    <w:qFormat/>
    <w:rPr>
      <w:rFonts w:ascii="Arial" w:eastAsiaTheme="majorEastAsia" w:hAnsi="Arial" w:cstheme="majorBidi"/>
      <w:b/>
      <w:color w:val="000000" w:themeColor="text1"/>
      <w:sz w:val="32"/>
      <w:szCs w:val="32"/>
      <w:lang w:val="fr-FR" w:eastAsia="en-US"/>
    </w:rPr>
  </w:style>
  <w:style w:type="character" w:customStyle="1" w:styleId="Titre3Car">
    <w:name w:val="Titre 3 Car"/>
    <w:basedOn w:val="Policepardfaut"/>
    <w:link w:val="Titre3"/>
    <w:uiPriority w:val="9"/>
    <w:qFormat/>
    <w:rPr>
      <w:rFonts w:ascii="Arial" w:eastAsiaTheme="majorEastAsia" w:hAnsi="Arial" w:cstheme="majorBidi"/>
      <w:b/>
      <w:color w:val="000000" w:themeColor="text1"/>
      <w:sz w:val="28"/>
      <w:szCs w:val="24"/>
      <w:lang w:val="fr-FR" w:eastAsia="en-US"/>
    </w:rPr>
  </w:style>
  <w:style w:type="character" w:customStyle="1" w:styleId="ParagraphedelisteCar">
    <w:name w:val="Paragraphe de liste Car"/>
    <w:uiPriority w:val="34"/>
    <w:qFormat/>
    <w:rPr>
      <w:rFonts w:ascii="Montserrat Light" w:eastAsia="Calibri" w:hAnsi="Montserrat Light" w:cs="Times New Roman" w:hint="default"/>
      <w:sz w:val="24"/>
    </w:rPr>
  </w:style>
  <w:style w:type="paragraph" w:customStyle="1" w:styleId="Paragraphedeliste1">
    <w:name w:val="Paragraphe de liste1"/>
    <w:qFormat/>
    <w:pPr>
      <w:spacing w:after="200" w:line="360" w:lineRule="auto"/>
      <w:ind w:left="720"/>
      <w:contextualSpacing/>
      <w:jc w:val="both"/>
    </w:pPr>
    <w:rPr>
      <w:rFonts w:ascii="Montserrat Light" w:hAnsi="Montserrat Light" w:cs="Times New Roman"/>
      <w:sz w:val="24"/>
      <w:szCs w:val="22"/>
      <w:lang w:val="en-US" w:eastAsia="zh-CN"/>
    </w:rPr>
  </w:style>
  <w:style w:type="paragraph" w:customStyle="1" w:styleId="Rvision1">
    <w:name w:val="Révision1"/>
    <w:hidden/>
    <w:uiPriority w:val="99"/>
    <w:unhideWhenUsed/>
    <w:qFormat/>
    <w:rPr>
      <w:rFonts w:asciiTheme="minorHAnsi" w:eastAsiaTheme="minorHAnsi" w:hAnsiTheme="minorHAnsi" w:cstheme="minorBidi"/>
      <w:sz w:val="22"/>
      <w:szCs w:val="22"/>
      <w:lang w:val="fr-FR" w:eastAsia="en-US"/>
    </w:rPr>
  </w:style>
  <w:style w:type="character" w:customStyle="1" w:styleId="CommentaireCar">
    <w:name w:val="Commentaire Car"/>
    <w:basedOn w:val="Policepardfaut"/>
    <w:link w:val="Commentaire"/>
    <w:uiPriority w:val="99"/>
    <w:qFormat/>
    <w:rPr>
      <w:rFonts w:asciiTheme="minorHAnsi" w:eastAsiaTheme="minorHAnsi" w:hAnsiTheme="minorHAnsi" w:cstheme="minorBidi"/>
      <w:lang w:val="fr-FR" w:eastAsia="en-US"/>
    </w:rPr>
  </w:style>
  <w:style w:type="character" w:customStyle="1" w:styleId="ObjetducommentaireCar">
    <w:name w:val="Objet du commentaire Car"/>
    <w:basedOn w:val="CommentaireCar"/>
    <w:link w:val="Objetducommentaire"/>
    <w:uiPriority w:val="99"/>
    <w:semiHidden/>
    <w:qFormat/>
    <w:rPr>
      <w:rFonts w:asciiTheme="minorHAnsi" w:eastAsiaTheme="minorHAnsi" w:hAnsiTheme="minorHAnsi" w:cstheme="minorBidi"/>
      <w:b/>
      <w:bCs/>
      <w:lang w:val="fr-FR" w:eastAsia="en-US"/>
    </w:rPr>
  </w:style>
  <w:style w:type="character" w:customStyle="1" w:styleId="Titre7Car">
    <w:name w:val="Titre 7 Car"/>
    <w:basedOn w:val="Policepardfaut"/>
    <w:link w:val="Titre7"/>
    <w:uiPriority w:val="9"/>
    <w:semiHidden/>
    <w:qFormat/>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customStyle="1" w:styleId="text-align-justify">
    <w:name w:val="text-align-justify"/>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qFormat/>
    <w:rPr>
      <w:rFonts w:ascii="Arial" w:eastAsiaTheme="majorEastAsia" w:hAnsi="Arial" w:cstheme="majorBidi"/>
      <w:b/>
      <w:color w:val="000000" w:themeColor="text1"/>
      <w:sz w:val="32"/>
      <w:szCs w:val="26"/>
      <w:lang w:val="fr-FR" w:eastAsia="en-US"/>
    </w:rPr>
  </w:style>
  <w:style w:type="character" w:customStyle="1" w:styleId="Titre4Car">
    <w:name w:val="Titre 4 Car"/>
    <w:basedOn w:val="Policepardfaut"/>
    <w:link w:val="Titre4"/>
    <w:uiPriority w:val="9"/>
    <w:qFormat/>
    <w:rPr>
      <w:rFonts w:ascii="Maiandra GD" w:eastAsiaTheme="majorEastAsia" w:hAnsi="Maiandra GD" w:cstheme="majorBidi"/>
      <w:b/>
      <w:iCs/>
      <w:color w:val="000000" w:themeColor="text1"/>
      <w:sz w:val="28"/>
      <w:szCs w:val="22"/>
      <w:lang w:val="fr-FR" w:eastAsia="en-US"/>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E74B5" w:themeColor="accent1" w:themeShade="BF"/>
      <w:sz w:val="22"/>
      <w:szCs w:val="22"/>
      <w:lang w:val="fr-FR" w:eastAsia="en-US"/>
    </w:rPr>
  </w:style>
  <w:style w:type="character" w:customStyle="1" w:styleId="Titre6Car">
    <w:name w:val="Titre 6 Car"/>
    <w:basedOn w:val="Policepardfaut"/>
    <w:link w:val="Titre6"/>
    <w:uiPriority w:val="9"/>
    <w:semiHidden/>
    <w:qFormat/>
    <w:rPr>
      <w:rFonts w:asciiTheme="majorHAnsi" w:eastAsiaTheme="majorEastAsia" w:hAnsiTheme="majorHAnsi" w:cstheme="majorBidi"/>
      <w:color w:val="1F4E79" w:themeColor="accent1" w:themeShade="80"/>
      <w:sz w:val="22"/>
      <w:szCs w:val="22"/>
      <w:lang w:val="fr-FR" w:eastAsia="en-US"/>
    </w:rPr>
  </w:style>
  <w:style w:type="character" w:customStyle="1" w:styleId="Titre8Car">
    <w:name w:val="Titre 8 Car"/>
    <w:basedOn w:val="Policepardfaut"/>
    <w:link w:val="Titre8"/>
    <w:uiPriority w:val="9"/>
    <w:semiHidden/>
    <w:qFormat/>
    <w:rPr>
      <w:rFonts w:asciiTheme="majorHAnsi" w:eastAsiaTheme="majorEastAsia" w:hAnsiTheme="majorHAnsi" w:cstheme="majorBidi"/>
      <w:color w:val="262626" w:themeColor="text1" w:themeTint="D9"/>
      <w:sz w:val="21"/>
      <w:szCs w:val="21"/>
      <w:lang w:val="fr-FR" w:eastAsia="en-US"/>
    </w:rPr>
  </w:style>
  <w:style w:type="character" w:customStyle="1" w:styleId="Titre9Car">
    <w:name w:val="Titre 9 Car"/>
    <w:basedOn w:val="Policepardfaut"/>
    <w:link w:val="Titre9"/>
    <w:uiPriority w:val="9"/>
    <w:semiHidden/>
    <w:qFormat/>
    <w:rPr>
      <w:rFonts w:asciiTheme="majorHAnsi" w:eastAsiaTheme="majorEastAsia" w:hAnsiTheme="majorHAnsi" w:cstheme="majorBidi"/>
      <w:i/>
      <w:iCs/>
      <w:color w:val="262626" w:themeColor="text1" w:themeTint="D9"/>
      <w:sz w:val="21"/>
      <w:szCs w:val="21"/>
      <w:lang w:val="fr-FR" w:eastAsia="en-US"/>
    </w:rPr>
  </w:style>
  <w:style w:type="table" w:customStyle="1" w:styleId="TableauGrille1Clair1">
    <w:name w:val="Tableau Grille 1 Clair1"/>
    <w:basedOn w:val="Tableau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64B4A-7514-40FC-B200-473570B9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856</Words>
  <Characters>4880</Characters>
  <Application>Microsoft Office Word</Application>
  <DocSecurity>0</DocSecurity>
  <Lines>40</Lines>
  <Paragraphs>11</Paragraphs>
  <ScaleCrop>false</ScaleCrop>
  <Company>Hewlett-Packard Company</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ATADE EULOGE</dc:creator>
  <cp:lastModifiedBy>Etienne BADOU</cp:lastModifiedBy>
  <cp:revision>3</cp:revision>
  <cp:lastPrinted>2025-08-06T15:35:00Z</cp:lastPrinted>
  <dcterms:created xsi:type="dcterms:W3CDTF">2025-08-06T18:01:00Z</dcterms:created>
  <dcterms:modified xsi:type="dcterms:W3CDTF">2025-08-07T07:02:00Z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AFDB95D0B3254BD9ADB267D3DA2FCD64_13</vt:lpwstr>
  </property>
</Properties>
</file>